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649" w:rsidRDefault="007E3649" w:rsidP="00DE4114">
      <w:pPr>
        <w:pStyle w:val="1"/>
      </w:pPr>
      <w:r w:rsidRPr="00DE4114">
        <w:rPr>
          <w:rFonts w:hint="eastAsia"/>
        </w:rPr>
        <w:t>青岛市城阳区工商联打造“四大平台”助推民营经济健康发展</w:t>
      </w:r>
    </w:p>
    <w:p w:rsidR="007E3649" w:rsidRDefault="007E3649" w:rsidP="007E3649">
      <w:pPr>
        <w:ind w:firstLineChars="200" w:firstLine="420"/>
      </w:pPr>
      <w:r>
        <w:rPr>
          <w:rFonts w:hint="eastAsia"/>
        </w:rPr>
        <w:t>深入推进工商联所属商会改革和发展，对于做好新时代民营经济统战工作、加快形成新发展格局具有重要意义。近年来，青岛市城阳区工商联按照中央和省、市改革部署要求，加强统筹谋划，坚持先行先试，在全市范围内率先探索建立政治引导、经济服务、诉求反映、权益维护、诚信自律、协同参与社会治理的中国特色基层商会组织，有效实现了商会改革与经济发展“双促进、双提升”。</w:t>
      </w:r>
    </w:p>
    <w:p w:rsidR="007E3649" w:rsidRDefault="007E3649" w:rsidP="00DE4114">
      <w:r>
        <w:rPr>
          <w:rFonts w:hint="eastAsia"/>
        </w:rPr>
        <w:t xml:space="preserve">　　据悉，</w:t>
      </w:r>
      <w:r>
        <w:t>2020</w:t>
      </w:r>
      <w:r>
        <w:t>年以来，共先后整顿、清理、新建商会组织</w:t>
      </w:r>
      <w:r>
        <w:t>15</w:t>
      </w:r>
      <w:r>
        <w:t>家，党建示范点</w:t>
      </w:r>
      <w:r>
        <w:t>10</w:t>
      </w:r>
      <w:r>
        <w:t>个，商会会员增幅达</w:t>
      </w:r>
      <w:r>
        <w:t>30%</w:t>
      </w:r>
      <w:r>
        <w:t>，其中高新技术创新类企业近百家，促成企业间达成合作近</w:t>
      </w:r>
      <w:r>
        <w:t>2</w:t>
      </w:r>
      <w:r>
        <w:t>亿元。</w:t>
      </w:r>
    </w:p>
    <w:p w:rsidR="007E3649" w:rsidRDefault="007E3649" w:rsidP="00DE4114">
      <w:r>
        <w:rPr>
          <w:rFonts w:hint="eastAsia"/>
        </w:rPr>
        <w:t>强化党建引领，严把商会改革政治方向</w:t>
      </w:r>
    </w:p>
    <w:p w:rsidR="007E3649" w:rsidRDefault="007E3649" w:rsidP="00DE4114">
      <w:r>
        <w:rPr>
          <w:rFonts w:hint="eastAsia"/>
        </w:rPr>
        <w:t xml:space="preserve">　　强化商会政治属性。针对工商联及所属商会政治建设不足、思政工作载体短缺等问题，切实加强商会党建工作，推动商会党组织充分发挥政治核心和战斗堡垒作用。</w:t>
      </w:r>
    </w:p>
    <w:p w:rsidR="007E3649" w:rsidRDefault="007E3649" w:rsidP="00DE4114">
      <w:r>
        <w:rPr>
          <w:rFonts w:hint="eastAsia"/>
        </w:rPr>
        <w:t xml:space="preserve">　　强化商会政治导向。加强商会党组织建设，实施“双建双揭”，即建立商会同时建立党组织、商会揭牌同时党组织揭牌。新建并完善商会党组织</w:t>
      </w:r>
      <w:r>
        <w:t>12</w:t>
      </w:r>
      <w:r>
        <w:t>家，覆盖率达</w:t>
      </w:r>
      <w:r>
        <w:t>90%</w:t>
      </w:r>
      <w:r>
        <w:t>，所有商会班子成员与党组织成员交叉任职。坚持党建工作与商会工作同部署、同研究、同落实，确保党建工作</w:t>
      </w:r>
      <w:r>
        <w:t>“</w:t>
      </w:r>
      <w:r>
        <w:t>有亮度、有力度、有准度</w:t>
      </w:r>
      <w:r>
        <w:t>”</w:t>
      </w:r>
      <w:r>
        <w:t>。</w:t>
      </w:r>
    </w:p>
    <w:p w:rsidR="007E3649" w:rsidRDefault="007E3649" w:rsidP="00DE4114">
      <w:r>
        <w:rPr>
          <w:rFonts w:hint="eastAsia"/>
        </w:rPr>
        <w:t xml:space="preserve">　　打造红色党建载体。截至目前，城阳区党建红盟企业已达</w:t>
      </w:r>
      <w:r>
        <w:t>20</w:t>
      </w:r>
      <w:r>
        <w:t>家。仅</w:t>
      </w:r>
      <w:r>
        <w:t>2020</w:t>
      </w:r>
      <w:r>
        <w:t>年上半年疫情期间，</w:t>
      </w:r>
      <w:r>
        <w:t>20</w:t>
      </w:r>
      <w:r>
        <w:t>家红盟企业累计捐款捐物</w:t>
      </w:r>
      <w:r>
        <w:t>1700</w:t>
      </w:r>
      <w:r>
        <w:t>余万元，带动全区</w:t>
      </w:r>
      <w:r>
        <w:t>288</w:t>
      </w:r>
      <w:r>
        <w:t>家民营企业捐赠总额达</w:t>
      </w:r>
      <w:r>
        <w:t>2619.7</w:t>
      </w:r>
      <w:r>
        <w:t>万元。</w:t>
      </w:r>
    </w:p>
    <w:p w:rsidR="007E3649" w:rsidRDefault="007E3649" w:rsidP="00DE4114">
      <w:r>
        <w:rPr>
          <w:rFonts w:hint="eastAsia"/>
        </w:rPr>
        <w:t xml:space="preserve">　　建设商会党建典型。按照工商联（总商会）、所属商会、会员企业三个层次，深入开展商会党建示范点建设。目前，全区建立商会党建品牌</w:t>
      </w:r>
      <w:r>
        <w:t>5</w:t>
      </w:r>
      <w:r>
        <w:t>个、商会党建示范点</w:t>
      </w:r>
      <w:r>
        <w:t>10</w:t>
      </w:r>
      <w:r>
        <w:t>个，带动了一大批非公企业党建实现新提升。</w:t>
      </w:r>
    </w:p>
    <w:p w:rsidR="007E3649" w:rsidRDefault="007E3649" w:rsidP="00DE4114">
      <w:r>
        <w:rPr>
          <w:rFonts w:hint="eastAsia"/>
        </w:rPr>
        <w:t>健全组织架构，激活商会改革体制机制</w:t>
      </w:r>
    </w:p>
    <w:p w:rsidR="007E3649" w:rsidRDefault="007E3649" w:rsidP="00DE4114">
      <w:r>
        <w:rPr>
          <w:rFonts w:hint="eastAsia"/>
        </w:rPr>
        <w:t xml:space="preserve">　　健全“一个体系”，即商会法人治理体系。截至目前，街道商会已正式注册登记</w:t>
      </w:r>
      <w:r>
        <w:t>6</w:t>
      </w:r>
      <w:r>
        <w:t>个，预计年底底全部完成注册登记。完善以商会章程为核心的商会内部管理制度体系，健全会员大会、理事会、监事会制度，探索实行会长轮值制，秘书长及秘书处人员聘任制等。如，城阳街道商会探索实行会长轮值制度，上马街道商会秘书处由街道选聘</w:t>
      </w:r>
      <w:r>
        <w:t>2</w:t>
      </w:r>
      <w:r>
        <w:t>名工作人员任职。</w:t>
      </w:r>
    </w:p>
    <w:p w:rsidR="007E3649" w:rsidRDefault="007E3649" w:rsidP="00DE4114">
      <w:r>
        <w:rPr>
          <w:rFonts w:hint="eastAsia"/>
        </w:rPr>
        <w:t xml:space="preserve">　　推进“三个一批”</w:t>
      </w:r>
      <w:r>
        <w:t>,</w:t>
      </w:r>
      <w:r>
        <w:t>即规范提升、清理整顿、探索新建一批商会。一、规范提升一批，以</w:t>
      </w:r>
      <w:r>
        <w:t>“</w:t>
      </w:r>
      <w:r>
        <w:t>四好</w:t>
      </w:r>
      <w:r>
        <w:t>”</w:t>
      </w:r>
      <w:r>
        <w:t>商会认定为抓手，指导商会开展规范化建设并参与评定，新增省、市级</w:t>
      </w:r>
      <w:r>
        <w:t>“</w:t>
      </w:r>
      <w:r>
        <w:t>四好</w:t>
      </w:r>
      <w:r>
        <w:t>”</w:t>
      </w:r>
      <w:r>
        <w:t>商会</w:t>
      </w:r>
      <w:r>
        <w:t>4</w:t>
      </w:r>
      <w:r>
        <w:t>家，民政认定</w:t>
      </w:r>
      <w:r>
        <w:t>“3A”</w:t>
      </w:r>
      <w:r>
        <w:t>级商会</w:t>
      </w:r>
      <w:r>
        <w:t>3</w:t>
      </w:r>
      <w:r>
        <w:t>家，商会自身建设水平大幅提升。二、清理整顿一批，对区房地产商会、区小企业商会等</w:t>
      </w:r>
      <w:r>
        <w:t>5</w:t>
      </w:r>
      <w:r>
        <w:t>家</w:t>
      </w:r>
      <w:r>
        <w:t>“</w:t>
      </w:r>
      <w:r>
        <w:t>僵尸商会</w:t>
      </w:r>
      <w:r>
        <w:t>”</w:t>
      </w:r>
      <w:r>
        <w:t>进行清理，对区青年企业家商会、区茶叶商会等</w:t>
      </w:r>
      <w:r>
        <w:t>4</w:t>
      </w:r>
      <w:r>
        <w:t>家</w:t>
      </w:r>
      <w:r>
        <w:t>“</w:t>
      </w:r>
      <w:r>
        <w:t>不规范商会</w:t>
      </w:r>
      <w:r>
        <w:t>”</w:t>
      </w:r>
      <w:r>
        <w:t>进行整顿，推进腾笼换鸟。三、牵头新建一批，大力借鉴江苏商会等市级异地商会建设经验，积极探索城阳区异地商会建设新路子。</w:t>
      </w:r>
      <w:r>
        <w:t>2020</w:t>
      </w:r>
      <w:r>
        <w:t>年底，全区首家异地商会</w:t>
      </w:r>
      <w:r>
        <w:t>—</w:t>
      </w:r>
      <w:r>
        <w:t>沂水商会正式成立</w:t>
      </w:r>
      <w:r>
        <w:rPr>
          <w:rFonts w:hint="eastAsia"/>
        </w:rPr>
        <w:t>。</w:t>
      </w:r>
    </w:p>
    <w:p w:rsidR="007E3649" w:rsidRDefault="007E3649" w:rsidP="00DE4114">
      <w:r>
        <w:rPr>
          <w:rFonts w:hint="eastAsia"/>
        </w:rPr>
        <w:t xml:space="preserve">　　与此同时，建立“五项机制”，即数据分类、事项报备、顶格协调、决策公开、创新激励五项制度。一、建立数据完善分类机制，按照企业贡献、重点行业、年龄层次分类梳理</w:t>
      </w:r>
      <w:r>
        <w:t>400</w:t>
      </w:r>
      <w:r>
        <w:t>多家企业名单，建立城阳区优秀企业家、重点行业企业家、青年企业家代表数据库。二、建立重大事项报备机制，制定《区工商联所属商会重大事项报备制度》等</w:t>
      </w:r>
      <w:r>
        <w:t>6</w:t>
      </w:r>
      <w:r>
        <w:t>个指导性文件、</w:t>
      </w:r>
      <w:r>
        <w:t>15</w:t>
      </w:r>
      <w:r>
        <w:t>个配套制度性文件并执行。三、建立顶格协调推进机制，充分发挥企业家副主席、副会长作用，对工商联（总商会）重点工作、重大事项，实施集体签字同意制度。四、建立决策实施公开机制，重大公共政策征求</w:t>
      </w:r>
      <w:r>
        <w:rPr>
          <w:rFonts w:hint="eastAsia"/>
        </w:rPr>
        <w:t>企业家副主席意见，经常性组织商会代表参加区内重大会议，积极为推动区域发展建言献策。五、建立创意创新激励机制，公布工商联微信公众号、邮箱、领导电话，鼓励企业家提出改革创意、想法，年内提出创新建议</w:t>
      </w:r>
      <w:r>
        <w:t>42</w:t>
      </w:r>
      <w:r>
        <w:t>条。</w:t>
      </w:r>
    </w:p>
    <w:p w:rsidR="007E3649" w:rsidRDefault="007E3649" w:rsidP="00DE4114">
      <w:r>
        <w:rPr>
          <w:rFonts w:hint="eastAsia"/>
        </w:rPr>
        <w:t>抓好平台联建，提升商会改革服务功能</w:t>
      </w:r>
    </w:p>
    <w:p w:rsidR="007E3649" w:rsidRDefault="007E3649" w:rsidP="00DE4114">
      <w:r>
        <w:rPr>
          <w:rFonts w:hint="eastAsia"/>
        </w:rPr>
        <w:t xml:space="preserve">　　联建服务平台，促进会员交流合作。依托工商联联系广泛优势，加强与国家、省、市级商会、协会及国内</w:t>
      </w:r>
      <w:r>
        <w:t>500</w:t>
      </w:r>
      <w:r>
        <w:t>强等大型民营企业联系。</w:t>
      </w:r>
      <w:r>
        <w:t>2020</w:t>
      </w:r>
      <w:r>
        <w:t>年以来，共走访联系深圳市人工智能产业协会、深圳市山东商会等</w:t>
      </w:r>
      <w:r>
        <w:t>24</w:t>
      </w:r>
      <w:r>
        <w:t>家，签约友好商会</w:t>
      </w:r>
      <w:r>
        <w:t>4</w:t>
      </w:r>
      <w:r>
        <w:t>家，参加国际国内各类贸易论坛、专题报告会</w:t>
      </w:r>
      <w:r>
        <w:t>22</w:t>
      </w:r>
      <w:r>
        <w:t>次，举办各类招商洽谈近百次，有效实现</w:t>
      </w:r>
      <w:r>
        <w:t>“</w:t>
      </w:r>
      <w:r>
        <w:t>商会携手、精准对接、合作共赢、共谋发展</w:t>
      </w:r>
      <w:r>
        <w:t>”</w:t>
      </w:r>
      <w:r>
        <w:t>的目标。</w:t>
      </w:r>
    </w:p>
    <w:p w:rsidR="007E3649" w:rsidRDefault="007E3649" w:rsidP="00DE4114">
      <w:r>
        <w:rPr>
          <w:rFonts w:hint="eastAsia"/>
        </w:rPr>
        <w:t xml:space="preserve">　　联建助推平台，促进民企高质量发展。创新调研走访联系会员方式，按照线上线下</w:t>
      </w:r>
      <w:r>
        <w:t>(47.140, 0.65, 1.40%)</w:t>
      </w:r>
      <w:r>
        <w:t>相结合、定点随机相结合、电话实地相结合的多样化思路，累计开展各类线上调查</w:t>
      </w:r>
      <w:r>
        <w:t>12</w:t>
      </w:r>
      <w:r>
        <w:t>次，线下实地走访企业近千家，汇总实际问题及意见建议</w:t>
      </w:r>
      <w:r>
        <w:t>200</w:t>
      </w:r>
      <w:r>
        <w:t>余条，由商会帮助协调解决</w:t>
      </w:r>
      <w:r>
        <w:t>150</w:t>
      </w:r>
      <w:r>
        <w:t>余条。联合四川大学、西安理工大学等国内高校打造产学研合作平台，帮助会员企业签约合作产学研项目</w:t>
      </w:r>
      <w:r>
        <w:t>60</w:t>
      </w:r>
      <w:r>
        <w:t>余个，助推民营企业开展科技创新、实现转型升级。</w:t>
      </w:r>
    </w:p>
    <w:p w:rsidR="007E3649" w:rsidRDefault="007E3649" w:rsidP="00DE4114">
      <w:r>
        <w:rPr>
          <w:rFonts w:hint="eastAsia"/>
        </w:rPr>
        <w:t xml:space="preserve">　　联建沟通平台，构建亲清政商关系。充分发挥商会连接政府企业的桥梁纽带作用，创新采用“共建共享共融”方式推进政企合作。先后与区相关部门共建了检察工作站、税务咨询点、法律服务试点等便企平台，邀请工信、环保等部门科室负责人加入商会微信群，累计组织召开企业家座谈会、政策解读会等会议</w:t>
      </w:r>
      <w:r>
        <w:t>22</w:t>
      </w:r>
      <w:r>
        <w:t>次。</w:t>
      </w:r>
    </w:p>
    <w:p w:rsidR="007E3649" w:rsidRDefault="007E3649" w:rsidP="00DE4114">
      <w:pPr>
        <w:ind w:firstLine="420"/>
      </w:pPr>
      <w:r>
        <w:rPr>
          <w:rFonts w:hint="eastAsia"/>
        </w:rPr>
        <w:t>联建引导平台，积极履行社会责任。加强与西部对口扶贫地区的协调联动，组织引导会员企业积极投身脱贫攻坚和东西部对口帮扶协作。仅</w:t>
      </w:r>
      <w:r>
        <w:t>2020</w:t>
      </w:r>
      <w:r>
        <w:t>年一年，累计向安顺关岭、陇南成县等地捐款捐物</w:t>
      </w:r>
      <w:r>
        <w:t>193.9</w:t>
      </w:r>
      <w:r>
        <w:t>万元，建设扶贫体验馆、消费配送中心各</w:t>
      </w:r>
      <w:r>
        <w:t>1</w:t>
      </w:r>
      <w:r>
        <w:t>处，采购物资</w:t>
      </w:r>
      <w:r>
        <w:t>347</w:t>
      </w:r>
      <w:r>
        <w:t>万元。同时，大力开展扶贫访贫慰问活动。如，夏庄街道商会成立志愿服务队，定期走访慰问困难家庭并送去大米、油等慰问品，累计</w:t>
      </w:r>
      <w:r>
        <w:t>20</w:t>
      </w:r>
      <w:r>
        <w:t>余万元。</w:t>
      </w:r>
    </w:p>
    <w:p w:rsidR="007E3649" w:rsidRDefault="007E3649" w:rsidP="00DE4114">
      <w:pPr>
        <w:ind w:firstLine="420"/>
        <w:jc w:val="right"/>
      </w:pPr>
      <w:r w:rsidRPr="00DE4114">
        <w:rPr>
          <w:rFonts w:hint="eastAsia"/>
        </w:rPr>
        <w:t>新浪财经</w:t>
      </w:r>
      <w:r>
        <w:rPr>
          <w:rFonts w:hint="eastAsia"/>
        </w:rPr>
        <w:t xml:space="preserve"> 2021-11-1</w:t>
      </w:r>
    </w:p>
    <w:p w:rsidR="007E3649" w:rsidRDefault="007E3649" w:rsidP="00007021">
      <w:pPr>
        <w:sectPr w:rsidR="007E3649" w:rsidSect="0000702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744C" w:rsidRDefault="0084744C"/>
    <w:sectPr w:rsidR="008474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3649"/>
    <w:rsid w:val="007E3649"/>
    <w:rsid w:val="008474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36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36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1911</Characters>
  <Application>Microsoft Office Word</Application>
  <DocSecurity>0</DocSecurity>
  <Lines>15</Lines>
  <Paragraphs>4</Paragraphs>
  <ScaleCrop>false</ScaleCrop>
  <Company>Microsoft</Company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2022-07-18T08:22:00Z</dcterms:created>
</cp:coreProperties>
</file>