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C6F" w:rsidRDefault="00BF6C6F" w:rsidP="003E433D">
      <w:pPr>
        <w:pStyle w:val="1"/>
        <w:rPr>
          <w:rFonts w:hint="eastAsia"/>
        </w:rPr>
      </w:pPr>
      <w:r w:rsidRPr="003E433D">
        <w:rPr>
          <w:rFonts w:hint="eastAsia"/>
        </w:rPr>
        <w:t>营造非公经济发展软环境</w:t>
      </w:r>
    </w:p>
    <w:p w:rsidR="00BF6C6F" w:rsidRDefault="00BF6C6F" w:rsidP="00BF6C6F">
      <w:pPr>
        <w:ind w:firstLineChars="200" w:firstLine="420"/>
      </w:pPr>
      <w:r>
        <w:rPr>
          <w:rFonts w:hint="eastAsia"/>
        </w:rPr>
        <w:t>“项目能顺利落地上马，与七台河市工商部门的高效服务分不开。”七台河市德彩光电项目负责人说。自去年项目正式签约后，七台河市市政务服务中心工商登记窗口配合市财政局共同推进这一项目，对项目推进过程中涉及工商职能的问题从快、从简、从优解决，使项目顺利注册登记开工建设。</w:t>
      </w:r>
    </w:p>
    <w:p w:rsidR="00BF6C6F" w:rsidRDefault="00BF6C6F" w:rsidP="00BF6C6F">
      <w:pPr>
        <w:ind w:firstLineChars="200" w:firstLine="420"/>
      </w:pPr>
      <w:r>
        <w:rPr>
          <w:rFonts w:hint="eastAsia"/>
        </w:rPr>
        <w:t>七台河市德彩光电项目是深圳客商唐伟东投资建设的光电项目，该项目总投资</w:t>
      </w:r>
      <w:r>
        <w:t>6000</w:t>
      </w:r>
      <w:r>
        <w:t>万元，拟建设一个</w:t>
      </w:r>
      <w:r>
        <w:t>LED</w:t>
      </w:r>
      <w:r>
        <w:t>生产服务基地。为该项目建设提供便捷优质服务，是市政务服务中心工商登记窗口创建优良软环境、服务产业项目发展的一个典型事例。今年以来，市工商局党组把</w:t>
      </w:r>
      <w:r>
        <w:t>2014</w:t>
      </w:r>
      <w:r>
        <w:t>年确定为</w:t>
      </w:r>
      <w:r>
        <w:t>“</w:t>
      </w:r>
      <w:r>
        <w:t>关注民生，服务发展</w:t>
      </w:r>
      <w:r>
        <w:t>”</w:t>
      </w:r>
      <w:r>
        <w:t>软环境整治年，把为非公有制企业发展</w:t>
      </w:r>
      <w:r>
        <w:t>“</w:t>
      </w:r>
      <w:r>
        <w:t>做好事、办实事、解难事</w:t>
      </w:r>
      <w:r>
        <w:t>”</w:t>
      </w:r>
      <w:r>
        <w:t>作为具体内容，制订了</w:t>
      </w:r>
      <w:r>
        <w:t>“</w:t>
      </w:r>
      <w:r>
        <w:t>关注民生，服务发展</w:t>
      </w:r>
      <w:r>
        <w:t>”</w:t>
      </w:r>
      <w:r>
        <w:t>软环境管理硬性规定，要求全系统干部职工在为全市非公有制企业发展服务中做到</w:t>
      </w:r>
      <w:r>
        <w:t>“</w:t>
      </w:r>
      <w:r>
        <w:t>九个不准、十个服务</w:t>
      </w:r>
      <w:r>
        <w:t>”</w:t>
      </w:r>
      <w:r>
        <w:t>，牢固树立</w:t>
      </w:r>
      <w:r>
        <w:t>“</w:t>
      </w:r>
      <w:r>
        <w:t>企业满意就是最好的服</w:t>
      </w:r>
      <w:r>
        <w:rPr>
          <w:rFonts w:hint="eastAsia"/>
        </w:rPr>
        <w:t>务”新理念，开展教育和查纠活动，对自查不认真、整改不到位的单位和个人严肃追究责任。该局还以全系统“向齐齐哈尔工商局”学习为契机，开展了“服务型机关”和“优化软环境从我做起”等活动，推进了干部职工思想作风、学风、工作作风、领导作风和生活作风建设。要求机关全体工作人员严格遵守工作纪律，开展经常性明察暗访，对存在的问题进行通报批评。围绕全市发展大局，不断加大案件查办力度，特别是对影响经济发展的“中梗阻”，抓住不放，严厉处理，并实行党风廉政建设“一票否决”，连续两年被否决的单位主要领导要进行组织调整。</w:t>
      </w:r>
    </w:p>
    <w:p w:rsidR="00BF6C6F" w:rsidRDefault="00BF6C6F" w:rsidP="00BF6C6F">
      <w:pPr>
        <w:ind w:firstLineChars="200" w:firstLine="420"/>
      </w:pPr>
      <w:r>
        <w:rPr>
          <w:rFonts w:hint="eastAsia"/>
        </w:rPr>
        <w:t>为优化经济发展软环境，七台河市工商局还出台了《促进全市非公有制经济发展</w:t>
      </w:r>
      <w:r>
        <w:t>20</w:t>
      </w:r>
      <w:r>
        <w:t>条措施》，在窗口单位大力开展</w:t>
      </w:r>
      <w:r>
        <w:t>“</w:t>
      </w:r>
      <w:r>
        <w:t>提前介入</w:t>
      </w:r>
      <w:r>
        <w:t>”</w:t>
      </w:r>
      <w:r>
        <w:t>、</w:t>
      </w:r>
      <w:r>
        <w:t>“</w:t>
      </w:r>
      <w:r>
        <w:t>上门服务</w:t>
      </w:r>
      <w:r>
        <w:t>”</w:t>
      </w:r>
      <w:r>
        <w:t>和</w:t>
      </w:r>
      <w:r>
        <w:t>“</w:t>
      </w:r>
      <w:r>
        <w:t>超前服务</w:t>
      </w:r>
      <w:r>
        <w:t>”</w:t>
      </w:r>
      <w:r>
        <w:t>等多种服务模式；大力开展创建</w:t>
      </w:r>
      <w:r>
        <w:t>“</w:t>
      </w:r>
      <w:r>
        <w:t>于雪梅式登记窗口</w:t>
      </w:r>
      <w:r>
        <w:t>”</w:t>
      </w:r>
      <w:r>
        <w:t>活动，在登记窗口设立了下岗再就业窗口、大学生创业窗口及绿色服务通道，实行特事特办和预约上门服务，减少行政办公环节，压缩审批时限。对政府重点支持项目、重点企业、分支机构较多的企业，实行上门、集中、预约年检，现场办结各项手续，为新增项目</w:t>
      </w:r>
      <w:r>
        <w:t>“</w:t>
      </w:r>
      <w:r>
        <w:t>保驾护航</w:t>
      </w:r>
      <w:r>
        <w:t>”</w:t>
      </w:r>
      <w:r>
        <w:t>。同时，成立了重点项目注册登记指导小组，提供项目筹备联络、无偿登记代理、容</w:t>
      </w:r>
      <w:r>
        <w:rPr>
          <w:rFonts w:hint="eastAsia"/>
        </w:rPr>
        <w:t>缺预审、先照后证、落地跟踪等“直通车”服务，力促项目尽快落地，并积极走访了解重点项目的落地情况，及时掌握项目实施中碰到的困难与问题，有针对性地提出帮扶办法，积极对接服务地方产业项目，努力打造一流投资软环境，全力推动地方经济加快发展。</w:t>
      </w:r>
    </w:p>
    <w:p w:rsidR="00BF6C6F" w:rsidRDefault="00BF6C6F" w:rsidP="00BF6C6F">
      <w:pPr>
        <w:ind w:firstLineChars="200" w:firstLine="420"/>
        <w:rPr>
          <w:rFonts w:hint="eastAsia"/>
        </w:rPr>
      </w:pPr>
      <w:r>
        <w:rPr>
          <w:rFonts w:hint="eastAsia"/>
        </w:rPr>
        <w:t>该局还针对全市多家重点行业、重点企业或集团和分支机构较多的企业，实行了特事特办上门年检服务。近日，该局又实行了市局领导联系工商所，干部职工进驻企业、重大项目和重点企业上门服务“联所包企”工作制，每名市局领导都联系工商所，组织干部职工进驻中小企业，上门寻找问题，提供上门年检服务，分类解决生产经营问题，切实为企业排忧解难。截至目前，共为企业和业户提供首问咨询服务</w:t>
      </w:r>
      <w:r>
        <w:t>1380</w:t>
      </w:r>
      <w:r>
        <w:t>件次、预约服务</w:t>
      </w:r>
      <w:r>
        <w:t>328</w:t>
      </w:r>
      <w:r>
        <w:t>人次、现场办公</w:t>
      </w:r>
      <w:r>
        <w:t>118</w:t>
      </w:r>
      <w:r>
        <w:t>场次、跟踪服务</w:t>
      </w:r>
      <w:r>
        <w:t>86</w:t>
      </w:r>
      <w:r>
        <w:t>人次，实施绿色通道</w:t>
      </w:r>
      <w:r>
        <w:t>1236</w:t>
      </w:r>
      <w:r>
        <w:t>户次，代写文书、填写表格</w:t>
      </w:r>
      <w:r>
        <w:t>586</w:t>
      </w:r>
      <w:r>
        <w:t>份；办理动产抵押登记</w:t>
      </w:r>
      <w:r>
        <w:t>12</w:t>
      </w:r>
      <w:r>
        <w:t>件</w:t>
      </w:r>
      <w:r>
        <w:rPr>
          <w:rFonts w:hint="eastAsia"/>
        </w:rPr>
        <w:t>，实现抵押贷款</w:t>
      </w:r>
      <w:r>
        <w:t>4.6</w:t>
      </w:r>
      <w:r>
        <w:t>亿元，盘活企业资产近</w:t>
      </w:r>
      <w:r>
        <w:t>5</w:t>
      </w:r>
      <w:r>
        <w:t>亿元；办理股权出质</w:t>
      </w:r>
      <w:r>
        <w:t>17</w:t>
      </w:r>
      <w:r>
        <w:t>起，出质股权数额达</w:t>
      </w:r>
      <w:r>
        <w:t>15.8</w:t>
      </w:r>
      <w:r>
        <w:t>万元；指导非公有制企业注册商标</w:t>
      </w:r>
      <w:r>
        <w:t>13</w:t>
      </w:r>
      <w:r>
        <w:t>件，全市共有</w:t>
      </w:r>
      <w:r>
        <w:t>142</w:t>
      </w:r>
      <w:r>
        <w:t>户企业荣获</w:t>
      </w:r>
      <w:r>
        <w:t>“</w:t>
      </w:r>
      <w:r>
        <w:t>守合同，重信用</w:t>
      </w:r>
      <w:r>
        <w:t>”</w:t>
      </w:r>
      <w:r>
        <w:t>企业称号，全市有注册商标</w:t>
      </w:r>
      <w:r>
        <w:t>938</w:t>
      </w:r>
      <w:r>
        <w:t>件，有</w:t>
      </w:r>
      <w:r>
        <w:t>2</w:t>
      </w:r>
      <w:r>
        <w:t>件商标荣获中国驰名商标，有</w:t>
      </w:r>
      <w:r>
        <w:t>15</w:t>
      </w:r>
      <w:r>
        <w:t>件商标荣获黑龙江省著名商标，有</w:t>
      </w:r>
      <w:r>
        <w:t>34</w:t>
      </w:r>
      <w:r>
        <w:t>件商标荣获七台河知名商标。由于在黑龙江省七台河市工商局支持非公有制企业发展良好政策支持下，吸引着越来越多的企业落户七台河。</w:t>
      </w:r>
    </w:p>
    <w:p w:rsidR="00BF6C6F" w:rsidRDefault="00BF6C6F" w:rsidP="00BF6C6F">
      <w:pPr>
        <w:ind w:firstLineChars="200" w:firstLine="420"/>
        <w:jc w:val="right"/>
        <w:rPr>
          <w:rFonts w:hint="eastAsia"/>
        </w:rPr>
      </w:pPr>
      <w:r w:rsidRPr="003E433D">
        <w:rPr>
          <w:rFonts w:hint="eastAsia"/>
        </w:rPr>
        <w:t>黑龙江经济报</w:t>
      </w:r>
      <w:smartTag w:uri="urn:schemas-microsoft-com:office:smarttags" w:element="chsdate">
        <w:smartTagPr>
          <w:attr w:name="IsROCDate" w:val="False"/>
          <w:attr w:name="IsLunarDate" w:val="False"/>
          <w:attr w:name="Day" w:val="29"/>
          <w:attr w:name="Month" w:val="12"/>
          <w:attr w:name="Year" w:val="2014"/>
        </w:smartTagPr>
        <w:r>
          <w:t>2014-12-</w:t>
        </w:r>
        <w:r>
          <w:rPr>
            <w:rFonts w:hint="eastAsia"/>
          </w:rPr>
          <w:t>29</w:t>
        </w:r>
      </w:smartTag>
    </w:p>
    <w:p w:rsidR="00BF6C6F" w:rsidRDefault="00BF6C6F" w:rsidP="00D7555E">
      <w:pPr>
        <w:sectPr w:rsidR="00BF6C6F" w:rsidSect="00D7555E">
          <w:type w:val="continuous"/>
          <w:pgSz w:w="11906" w:h="16838" w:code="9"/>
          <w:pgMar w:top="1644" w:right="1236" w:bottom="1418" w:left="1814" w:header="851" w:footer="907" w:gutter="0"/>
          <w:pgNumType w:start="1"/>
          <w:cols w:space="425"/>
          <w:docGrid w:type="lines" w:linePitch="341" w:charSpace="2373"/>
        </w:sectPr>
      </w:pPr>
    </w:p>
    <w:p w:rsidR="00A70E4D" w:rsidRDefault="00A70E4D"/>
    <w:sectPr w:rsidR="00A70E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6C6F"/>
    <w:rsid w:val="00A70E4D"/>
    <w:rsid w:val="00BF6C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F6C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6C6F"/>
    <w:rPr>
      <w:rFonts w:ascii="黑体" w:eastAsia="黑体" w:hAnsi="宋体" w:cs="Times New Roman"/>
      <w:b/>
      <w:kern w:val="36"/>
      <w:sz w:val="32"/>
      <w:szCs w:val="32"/>
    </w:rPr>
  </w:style>
  <w:style w:type="paragraph" w:customStyle="1" w:styleId="Char2CharCharChar">
    <w:name w:val="Char2 Char Char Char"/>
    <w:basedOn w:val="a"/>
    <w:autoRedefine/>
    <w:rsid w:val="00BF6C6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222</Words>
  <Characters>1267</Characters>
  <Application>Microsoft Office Word</Application>
  <DocSecurity>0</DocSecurity>
  <Lines>10</Lines>
  <Paragraphs>2</Paragraphs>
  <ScaleCrop>false</ScaleCrop>
  <Company>Microsoft</Company>
  <LinksUpToDate>false</LinksUpToDate>
  <CharactersWithSpaces>1487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2022-07-16T07:11:00Z</dcterms:created>
</cp:coreProperties>
</file>