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77CB6" w:rsidRDefault="00C77CB6" w:rsidP="00A16EF6">
      <w:pPr>
        <w:pStyle w:val="1"/>
      </w:pPr>
      <w:r w:rsidRPr="00A16EF6">
        <w:rPr>
          <w:rFonts w:hint="eastAsia"/>
        </w:rPr>
        <w:t>张掖市工商联强化四项举措服务新发展格局</w:t>
      </w:r>
    </w:p>
    <w:p w:rsidR="00C77CB6" w:rsidRDefault="00C77CB6" w:rsidP="00C77CB6">
      <w:pPr>
        <w:ind w:firstLineChars="200" w:firstLine="420"/>
        <w:jc w:val="left"/>
      </w:pPr>
      <w:r>
        <w:t>2021</w:t>
      </w:r>
      <w:r>
        <w:t>年是</w:t>
      </w:r>
      <w:r>
        <w:t>“</w:t>
      </w:r>
      <w:r>
        <w:t>十四五</w:t>
      </w:r>
      <w:r>
        <w:t>”</w:t>
      </w:r>
      <w:r>
        <w:t>规划开局之年，也是开启全面建设社会主义现代化国家新征程的起步之年。张掖市工商联立足自身优势，强化政治引领、服务高质量发展、民营经济人士队伍建设、工商联改革发展四项重点任务，抢抓机遇谋新篇，为服务</w:t>
      </w:r>
      <w:r>
        <w:t>“</w:t>
      </w:r>
      <w:r>
        <w:t>两个健康</w:t>
      </w:r>
      <w:r>
        <w:t>”</w:t>
      </w:r>
      <w:r>
        <w:t>开好局、起好步。</w:t>
      </w:r>
    </w:p>
    <w:p w:rsidR="00C77CB6" w:rsidRDefault="00C77CB6" w:rsidP="00C77CB6">
      <w:pPr>
        <w:ind w:firstLineChars="200" w:firstLine="420"/>
        <w:jc w:val="left"/>
      </w:pPr>
      <w:r>
        <w:rPr>
          <w:rFonts w:hint="eastAsia"/>
        </w:rPr>
        <w:t>一是强化政治引领凝聚共识。牢牢把握工商联事业发展的正确方向，把开展党史学习教育与理想信念教育紧密结合，广泛开展中国共产党史以及新中国史、改革开放史、社会主义发展史专题教育和非公有制经济发展史、非公有制经济统一战线工作史教育。围绕党史重要事件、重大活动和重要遗址旧址，实施“民营企业跟党走”“我为群众办实事”等实践活动。加强对所属商会党建工作指导，努力扩大党的组织和工作在市工商联执常委企业和市工商联所属商会的覆盖面。强化意识形态工作责任制，扎实做好民营经济领域网上舆论引导和舆情处置工作。广泛开展党的十九届五中全会精神、全国两会、全国全省民营经济统战工作会议精神、《中国共产党统一战线工作条例》的宣讲解读和专题培训，不断提高政治判断力、政治领悟力、政治执行力，切实把中央、省、市重大决策部署落到实处。</w:t>
      </w:r>
    </w:p>
    <w:p w:rsidR="00C77CB6" w:rsidRDefault="00C77CB6" w:rsidP="00C77CB6">
      <w:pPr>
        <w:ind w:firstLineChars="200" w:firstLine="420"/>
        <w:jc w:val="left"/>
      </w:pPr>
      <w:r>
        <w:rPr>
          <w:rFonts w:hint="eastAsia"/>
        </w:rPr>
        <w:t>二是贯彻新发展理念精准服务。引导民营企业立足新发展阶段、贯彻新发展理念、构建新发展格局，积极参与全市“十四五”规划实施“一带一路”建设、构建“四大产业体系”、推进乡村“五大振兴”、科技创新行动计划、祁连山</w:t>
      </w:r>
      <w:r>
        <w:t>(11.160, 0.17, 1.55%)</w:t>
      </w:r>
      <w:r>
        <w:t>生态保护等重大战略。深化</w:t>
      </w:r>
      <w:r>
        <w:t>“</w:t>
      </w:r>
      <w:r>
        <w:t>千企调研纾困</w:t>
      </w:r>
      <w:r>
        <w:t>”</w:t>
      </w:r>
      <w:r>
        <w:t>行动，推动出台政商交往正负面清单制度，加强与公检法司等部门的联动，建立民营企业涉法涉诉案件协调机制，畅通法律服务渠道。落实领导干部联系企业和商会制度，健全民营企业与政府相关部门的合作机制，推动政银企对接。围绕推动民营企业融</w:t>
      </w:r>
      <w:r>
        <w:rPr>
          <w:rFonts w:hint="eastAsia"/>
        </w:rPr>
        <w:t>入新发展格局、中国特色商会组织建设、千企纾困、“民企兴村”乡村振兴行动等课题开展调研，健全完善以市工商联执常委、直属商会为主体的参政议政体系。启动实施“民企兴村”乡村振兴行动，推动巩固脱贫攻坚成果与实施乡村振兴有机衔接和有序推进。发挥工商联组织优势，依托异地商会以商引商，做好“民企陇上行”“兰洽会”“张交会”招商引资活动服务工作。</w:t>
      </w:r>
    </w:p>
    <w:p w:rsidR="00C77CB6" w:rsidRDefault="00C77CB6" w:rsidP="00C77CB6">
      <w:pPr>
        <w:ind w:firstLineChars="200" w:firstLine="420"/>
        <w:jc w:val="left"/>
      </w:pPr>
      <w:r>
        <w:rPr>
          <w:rFonts w:hint="eastAsia"/>
        </w:rPr>
        <w:t>三是强化教育培训力促队伍建设。深入贯彻落实全市“十强双百”企业振兴计划，加快建立健全企业家培训体系，配合市工信局办好企业家大讲堂，组织民营经济代表人士赴外学习考察，依托社会主义学院有针对性地开展企业家队伍教育培训，努力建设一支具有现代理念、国际眼光、战略思维、创新意识的高素质企业家队伍。发挥老一代民营企业家传帮带等作用，教育引导年青一代民营企业家继承发扬听党话、跟党走的光荣传统，努力实现新老交替和有序传承。按照“三强一好”选人用人标准，严把政治关和遵纪守法关，开展民营经济代表人士综合评价，不断优化执常委队伍结构，侧重发现和发展一批在战略性新兴产业、高技术产业、先进制造业、现代服务业、现代农业等领域的代表人士，提高民营经济代表人士队伍的整体素质。</w:t>
      </w:r>
    </w:p>
    <w:p w:rsidR="00C77CB6" w:rsidRDefault="00C77CB6" w:rsidP="00C77CB6">
      <w:pPr>
        <w:ind w:firstLineChars="200" w:firstLine="420"/>
        <w:jc w:val="left"/>
      </w:pPr>
      <w:r>
        <w:rPr>
          <w:rFonts w:hint="eastAsia"/>
        </w:rPr>
        <w:t>四是加强自身建设深化改革创新。认真贯彻落实全国工商联深化改革座谈会精神，进一步强“三性”、去“四化”，研究制定市工商联深化改革方案，做好市县工商联换届工作，提升工商联系统整体效能。开展企业家兼职副主席轮值活动，组织开展“五好”工商联观摩，打造特色品牌，促进改革创新。推进工商联所属商会改革和发展，建立直属商会工作考核评议及商会会长述职暂行办法，加强工商联所属商会特别是乡镇街道商会的登记管理工作。在大数据产业园、文旅餐饮行业、农民专业合作社组织以及新兴领域、新兴业态成立商会，定期召开直属商会联席会议制度。创新“法治体检”“法律三进”工作，有效发挥商会服务民营经济的职能。着眼新形势新任务新要求，努力建设模范政治机关。打造服务型创新型机关，全面加强自身建设。</w:t>
      </w:r>
    </w:p>
    <w:p w:rsidR="00C77CB6" w:rsidRDefault="00C77CB6" w:rsidP="00C77CB6">
      <w:pPr>
        <w:ind w:firstLineChars="200" w:firstLine="420"/>
        <w:jc w:val="right"/>
      </w:pPr>
      <w:r w:rsidRPr="00A16EF6">
        <w:rPr>
          <w:rFonts w:hint="eastAsia"/>
        </w:rPr>
        <w:t>新浪财经综合</w:t>
      </w:r>
      <w:r w:rsidRPr="00A16EF6">
        <w:t>2021</w:t>
      </w:r>
      <w:r>
        <w:rPr>
          <w:rFonts w:hint="eastAsia"/>
        </w:rPr>
        <w:t>-</w:t>
      </w:r>
      <w:r w:rsidRPr="00A16EF6">
        <w:t>03</w:t>
      </w:r>
      <w:r>
        <w:rPr>
          <w:rFonts w:hint="eastAsia"/>
        </w:rPr>
        <w:t>-</w:t>
      </w:r>
      <w:r w:rsidRPr="00A16EF6">
        <w:t>31</w:t>
      </w:r>
    </w:p>
    <w:p w:rsidR="00C77CB6" w:rsidRDefault="00C77CB6" w:rsidP="00437FE8">
      <w:pPr>
        <w:sectPr w:rsidR="00C77CB6" w:rsidSect="00437FE8">
          <w:type w:val="continuous"/>
          <w:pgSz w:w="11906" w:h="16838"/>
          <w:pgMar w:top="1644" w:right="1236" w:bottom="1418" w:left="1814" w:header="851" w:footer="907" w:gutter="0"/>
          <w:pgNumType w:start="1"/>
          <w:cols w:space="720"/>
          <w:docGrid w:type="lines" w:linePitch="341" w:charSpace="2373"/>
        </w:sectPr>
      </w:pPr>
    </w:p>
    <w:p w:rsidR="00480BBC" w:rsidRDefault="00480BBC"/>
    <w:sectPr w:rsidR="00480BB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77CB6"/>
    <w:rsid w:val="00480BBC"/>
    <w:rsid w:val="00C77CB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77CB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77CB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237</Words>
  <Characters>1354</Characters>
  <Application>Microsoft Office Word</Application>
  <DocSecurity>0</DocSecurity>
  <Lines>11</Lines>
  <Paragraphs>3</Paragraphs>
  <ScaleCrop>false</ScaleCrop>
  <Company>Sky123.Org</Company>
  <LinksUpToDate>false</LinksUpToDate>
  <CharactersWithSpaces>1588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2022-08-16T01:35:00Z</dcterms:created>
</cp:coreProperties>
</file>