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3C18" w:rsidRDefault="00913C18" w:rsidP="001D0AAF">
      <w:pPr>
        <w:pStyle w:val="1"/>
      </w:pPr>
      <w:r w:rsidRPr="001D0AAF">
        <w:rPr>
          <w:rFonts w:hint="eastAsia"/>
        </w:rPr>
        <w:t>喜报！成都新津区工商联三项工作调研获得市级表彰</w:t>
      </w:r>
    </w:p>
    <w:p w:rsidR="00913C18" w:rsidRDefault="00913C18" w:rsidP="00913C18">
      <w:pPr>
        <w:ind w:firstLineChars="200" w:firstLine="420"/>
      </w:pPr>
      <w:r>
        <w:t>2021</w:t>
      </w:r>
      <w:r>
        <w:t>年，新津区工商联始终坚持</w:t>
      </w:r>
      <w:r>
        <w:t>“</w:t>
      </w:r>
      <w:r>
        <w:t>信任、团结、服务、引导、教育</w:t>
      </w:r>
      <w:r>
        <w:t>”</w:t>
      </w:r>
      <w:r>
        <w:t>工作方针，牢牢把握</w:t>
      </w:r>
      <w:r>
        <w:t>“</w:t>
      </w:r>
      <w:r>
        <w:t>两个健康</w:t>
      </w:r>
      <w:r>
        <w:t>”</w:t>
      </w:r>
      <w:r>
        <w:t>工作主题，围绕创新开展民营经济统战工作，强化企业维权服务、营造良好民营经济发展氛围，有力促进了民营经济健康发展、民营经济人士健康成长，形成了高质量调查研究、理论探索成果，获得成都市工商联表彰。其中，《关于</w:t>
      </w:r>
      <w:r>
        <w:t>“</w:t>
      </w:r>
      <w:r>
        <w:t>部分地区医用耗材集中采购带量招标相关情况</w:t>
      </w:r>
      <w:r>
        <w:t>”</w:t>
      </w:r>
      <w:r>
        <w:t>的调查报告》获一等奖，《破解商协会发展瓶颈</w:t>
      </w:r>
      <w:r>
        <w:t xml:space="preserve"> </w:t>
      </w:r>
      <w:r>
        <w:t>促进民营经济高质量发展》获二等奖，《新津区民营经济统战工作调研报告》获三等奖，是唯一一个囊括三个奖项的区（市）县。</w:t>
      </w:r>
    </w:p>
    <w:p w:rsidR="00913C18" w:rsidRDefault="00913C18" w:rsidP="00913C18">
      <w:pPr>
        <w:ind w:firstLineChars="200" w:firstLine="420"/>
      </w:pPr>
      <w:r>
        <w:rPr>
          <w:rFonts w:hint="eastAsia"/>
        </w:rPr>
        <w:t>创新民营经济统战工作</w:t>
      </w:r>
    </w:p>
    <w:p w:rsidR="00913C18" w:rsidRDefault="00913C18" w:rsidP="00913C18">
      <w:pPr>
        <w:ind w:firstLineChars="200" w:firstLine="420"/>
      </w:pPr>
      <w:r>
        <w:rPr>
          <w:rFonts w:hint="eastAsia"/>
        </w:rPr>
        <w:t>助推民营经济高质量发展</w:t>
      </w:r>
    </w:p>
    <w:p w:rsidR="00913C18" w:rsidRDefault="00913C18" w:rsidP="00913C18">
      <w:pPr>
        <w:ind w:firstLineChars="200" w:firstLine="420"/>
      </w:pPr>
      <w:r>
        <w:rPr>
          <w:rFonts w:hint="eastAsia"/>
        </w:rPr>
        <w:t>新津被誉为民营经济的摇篮，孕育了以希望集团为代表的一批优秀民营企业。民营经济增加值占比连续多年超过</w:t>
      </w:r>
      <w:r>
        <w:t>70%</w:t>
      </w:r>
      <w:r>
        <w:t>，位居省、市前列，新津先后获评</w:t>
      </w:r>
      <w:r>
        <w:t>“</w:t>
      </w:r>
      <w:r>
        <w:t>中国民营经济最佳投资县</w:t>
      </w:r>
      <w:r>
        <w:t>”“</w:t>
      </w:r>
      <w:r>
        <w:t>全国投资潜力百强县市</w:t>
      </w:r>
      <w:r>
        <w:t>”“</w:t>
      </w:r>
      <w:r>
        <w:t>中国营商环境百佳试点县市</w:t>
      </w:r>
      <w:r>
        <w:t>”</w:t>
      </w:r>
      <w:r>
        <w:t>，多次获评全省县域经济发展先进县。中央统一战线工作领导小组第四检查组到四川督导时，新津代表全省区（市）县做民营经济工作推进交流发言。新津区工商联被全国工商联评为</w:t>
      </w:r>
      <w:r>
        <w:t>“</w:t>
      </w:r>
      <w:r>
        <w:t>五好</w:t>
      </w:r>
      <w:r>
        <w:t>”</w:t>
      </w:r>
      <w:r>
        <w:t>县级工商联等荣誉称号。新津成为全省首批新时代</w:t>
      </w:r>
      <w:r>
        <w:t>“</w:t>
      </w:r>
      <w:r>
        <w:t>两个健康</w:t>
      </w:r>
      <w:r>
        <w:t>”</w:t>
      </w:r>
      <w:r>
        <w:t>示范试点创建单位。</w:t>
      </w:r>
    </w:p>
    <w:p w:rsidR="00913C18" w:rsidRDefault="00913C18" w:rsidP="00913C18">
      <w:pPr>
        <w:ind w:firstLineChars="200" w:firstLine="420"/>
      </w:pPr>
      <w:r>
        <w:rPr>
          <w:rFonts w:hint="eastAsia"/>
        </w:rPr>
        <w:t>深入实施“津津希望”企业上市培育工程，组织优秀年轻企业家赴深圳资本市场学院开展定制化培训，引导民营企业对接多层次资本市场，助力“专精特新”发展。顺利召开工商联（商会）第十二次代表大会，选举出向智能制造、乡村振兴等重点产业和民营经济行业龙头集中的年轻工商联领导班子，平均年龄仅</w:t>
      </w:r>
      <w:r>
        <w:t>41</w:t>
      </w:r>
      <w:r>
        <w:t>岁，实现</w:t>
      </w:r>
      <w:r>
        <w:t>“</w:t>
      </w:r>
      <w:r>
        <w:t>希望系</w:t>
      </w:r>
      <w:r>
        <w:t>”</w:t>
      </w:r>
      <w:r>
        <w:t>企业全覆盖。</w:t>
      </w:r>
    </w:p>
    <w:p w:rsidR="00913C18" w:rsidRDefault="00913C18" w:rsidP="00913C18">
      <w:pPr>
        <w:ind w:firstLineChars="200" w:firstLine="420"/>
      </w:pPr>
      <w:r>
        <w:rPr>
          <w:rFonts w:hint="eastAsia"/>
        </w:rPr>
        <w:t>加强行业商协会建设</w:t>
      </w:r>
    </w:p>
    <w:p w:rsidR="00913C18" w:rsidRDefault="00913C18" w:rsidP="00913C18">
      <w:pPr>
        <w:ind w:firstLineChars="200" w:firstLine="420"/>
      </w:pPr>
      <w:r>
        <w:rPr>
          <w:rFonts w:hint="eastAsia"/>
        </w:rPr>
        <w:t>助推产业经济健康发展</w:t>
      </w:r>
    </w:p>
    <w:p w:rsidR="00913C18" w:rsidRDefault="00913C18" w:rsidP="00913C18">
      <w:pPr>
        <w:ind w:firstLineChars="200" w:firstLine="420"/>
      </w:pPr>
      <w:r>
        <w:rPr>
          <w:rFonts w:hint="eastAsia"/>
        </w:rPr>
        <w:t>新津区工商联现有新生代、路桥、家居、进出口等</w:t>
      </w:r>
      <w:r>
        <w:t>16</w:t>
      </w:r>
      <w:r>
        <w:t>家直属商协会，涵盖轨道交通、智能制造、建材包装、物流运输等多个行业，聚集优势资源，促进企业抱团发展，加快产业迭代升级。区工商联通过加强党的政治引领，推进政府职能转变、政府购买公共服务、设立专项基金、落实扶持政策，在招商引资、土地审批、环境优化等方面为商协会纾难解困。通过搭平台强链接，树品牌促发展，积极开展地方产品配套集中签约、智能家居（建材）博览会、四川省异地商会新津行等活动。连续</w:t>
      </w:r>
      <w:r>
        <w:t>3</w:t>
      </w:r>
      <w:r>
        <w:t>届组织进出口企业参加</w:t>
      </w:r>
      <w:r>
        <w:t>“</w:t>
      </w:r>
      <w:r>
        <w:t>中国国际进口博览会</w:t>
      </w:r>
      <w:r>
        <w:t>”</w:t>
      </w:r>
      <w:r>
        <w:t>，先后促成新希望乳业、事丰医疗等企业</w:t>
      </w:r>
      <w:r>
        <w:rPr>
          <w:rFonts w:hint="eastAsia"/>
        </w:rPr>
        <w:t>与美国、新西兰等签订进出口业务，累计签贸易合同达</w:t>
      </w:r>
      <w:r>
        <w:t>22</w:t>
      </w:r>
      <w:r>
        <w:t>亿元。在全省率先挂牌</w:t>
      </w:r>
      <w:r>
        <w:t>“</w:t>
      </w:r>
      <w:r>
        <w:t>民营经济人士之家</w:t>
      </w:r>
      <w:r>
        <w:t>”“</w:t>
      </w:r>
      <w:r>
        <w:t>四川省异地商会联合会实践活动基地</w:t>
      </w:r>
      <w:r>
        <w:t>”</w:t>
      </w:r>
      <w:r>
        <w:t>。建立政企银沟通协商机制，促进行业会员与在津金融单位签订《全面战略合作协议》，提供</w:t>
      </w:r>
      <w:r>
        <w:t>“</w:t>
      </w:r>
      <w:r>
        <w:t>融资</w:t>
      </w:r>
      <w:r>
        <w:t>+</w:t>
      </w:r>
      <w:r>
        <w:t>融智</w:t>
      </w:r>
      <w:r>
        <w:t>+</w:t>
      </w:r>
      <w:r>
        <w:t>融市</w:t>
      </w:r>
      <w:r>
        <w:t>”</w:t>
      </w:r>
      <w:r>
        <w:t>金融服务，累计帮助企业实现融资达</w:t>
      </w:r>
      <w:r>
        <w:t>60</w:t>
      </w:r>
      <w:r>
        <w:t>亿元。</w:t>
      </w:r>
      <w:r>
        <w:t>2021</w:t>
      </w:r>
      <w:r>
        <w:t>年，会员企业实现产值超</w:t>
      </w:r>
      <w:r>
        <w:t>300</w:t>
      </w:r>
      <w:r>
        <w:t>亿元，年产值超亿元的企业达</w:t>
      </w:r>
      <w:r>
        <w:t>40</w:t>
      </w:r>
      <w:r>
        <w:t>家以上。</w:t>
      </w:r>
    </w:p>
    <w:p w:rsidR="00913C18" w:rsidRDefault="00913C18" w:rsidP="00913C18">
      <w:pPr>
        <w:ind w:firstLineChars="200" w:firstLine="420"/>
      </w:pPr>
      <w:r>
        <w:rPr>
          <w:rFonts w:hint="eastAsia"/>
        </w:rPr>
        <w:t>强化企业维权服务</w:t>
      </w:r>
    </w:p>
    <w:p w:rsidR="00913C18" w:rsidRDefault="00913C18" w:rsidP="00913C18">
      <w:pPr>
        <w:ind w:firstLineChars="200" w:firstLine="420"/>
      </w:pPr>
      <w:r>
        <w:rPr>
          <w:rFonts w:hint="eastAsia"/>
        </w:rPr>
        <w:t>助力民营资本有序竞争</w:t>
      </w:r>
    </w:p>
    <w:p w:rsidR="00913C18" w:rsidRDefault="00913C18" w:rsidP="00913C18">
      <w:pPr>
        <w:ind w:firstLineChars="200" w:firstLine="420"/>
      </w:pPr>
      <w:r>
        <w:rPr>
          <w:rFonts w:hint="eastAsia"/>
        </w:rPr>
        <w:t>通过建立维权服务机制，成立“民营企业检察室”，组建法律服务团队，积极开展“法律进企业”“法律体检”活动，帮助企业防范化解危机，引导民营企业依法经营、依法治企、依法维权。加强与检察院、法院的立体互动，积极推进法治宣传，为民营企业提供法律援助和服务。作为中小企业的“娘家人”，聚焦企业“急、愁、等、盼”问题，为企业发展“站台”，解企业“燃眉之急”。</w:t>
      </w:r>
    </w:p>
    <w:p w:rsidR="00913C18" w:rsidRDefault="00913C18" w:rsidP="00913C18">
      <w:pPr>
        <w:ind w:firstLineChars="200" w:firstLine="420"/>
      </w:pPr>
      <w:r>
        <w:rPr>
          <w:rFonts w:hint="eastAsia"/>
        </w:rPr>
        <w:t>通过争取四川省工商联维权中心支持，为企业出谋划策、帮助事丰医疗等企业指导企业维权，获得上亿元采购金额。</w:t>
      </w:r>
    </w:p>
    <w:p w:rsidR="00913C18" w:rsidRPr="001D0AAF" w:rsidRDefault="00913C18" w:rsidP="001D0AAF">
      <w:pPr>
        <w:jc w:val="right"/>
      </w:pPr>
      <w:r>
        <w:rPr>
          <w:rFonts w:hint="eastAsia"/>
        </w:rPr>
        <w:t>腾讯网</w:t>
      </w:r>
      <w:r>
        <w:rPr>
          <w:rFonts w:hint="eastAsia"/>
        </w:rPr>
        <w:t xml:space="preserve"> 2022-1-23</w:t>
      </w:r>
    </w:p>
    <w:p w:rsidR="00913C18" w:rsidRDefault="00913C18" w:rsidP="00BF55E4">
      <w:pPr>
        <w:sectPr w:rsidR="00913C18" w:rsidSect="00BF55E4">
          <w:type w:val="continuous"/>
          <w:pgSz w:w="11906" w:h="16838"/>
          <w:pgMar w:top="1644" w:right="1236" w:bottom="1418" w:left="1814" w:header="851" w:footer="907" w:gutter="0"/>
          <w:pgNumType w:start="1"/>
          <w:cols w:space="720"/>
          <w:docGrid w:type="lines" w:linePitch="341" w:charSpace="2373"/>
        </w:sectPr>
      </w:pPr>
    </w:p>
    <w:p w:rsidR="007D2530" w:rsidRDefault="007D2530"/>
    <w:sectPr w:rsidR="007D25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3C18"/>
    <w:rsid w:val="007D2530"/>
    <w:rsid w:val="00913C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3C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3C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207</Words>
  <Characters>1186</Characters>
  <Application>Microsoft Office Word</Application>
  <DocSecurity>0</DocSecurity>
  <Lines>9</Lines>
  <Paragraphs>2</Paragraphs>
  <ScaleCrop>false</ScaleCrop>
  <Company>Microsoft</Company>
  <LinksUpToDate>false</LinksUpToDate>
  <CharactersWithSpaces>1391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2022-07-18T09:04:00Z</dcterms:created>
</cp:coreProperties>
</file>