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36B" w:rsidRDefault="00B2536B" w:rsidP="00720DB2">
      <w:pPr>
        <w:pStyle w:val="1"/>
      </w:pPr>
      <w:r w:rsidRPr="00720DB2">
        <w:rPr>
          <w:rFonts w:hint="eastAsia"/>
        </w:rPr>
        <w:t>镇江市工商联与人行汇聚金融合力服务小微企业发展</w:t>
      </w:r>
    </w:p>
    <w:p w:rsidR="00B2536B" w:rsidRDefault="00B2536B" w:rsidP="00B2536B">
      <w:pPr>
        <w:ind w:firstLineChars="200" w:firstLine="420"/>
      </w:pPr>
      <w:r>
        <w:rPr>
          <w:rFonts w:hint="eastAsia"/>
        </w:rPr>
        <w:t>今年以来，镇江市工商联与中国人民银行镇江市中心支行着力突破小微企业、个体工商户金融服务瓶颈，切实提升商会及会员企业金融服务的可得性与精准度，开展“贷动小生意、服务大民生”服务小微企业、个体工商户甘露行动。截至</w:t>
      </w:r>
      <w:r>
        <w:t>10</w:t>
      </w:r>
      <w:r>
        <w:t>月末，镇江个体工商户和小微企业主经营性贷款余额</w:t>
      </w:r>
      <w:r>
        <w:t>315.43</w:t>
      </w:r>
      <w:r>
        <w:t>亿元，同比增长</w:t>
      </w:r>
      <w:r>
        <w:t>27.18%</w:t>
      </w:r>
      <w:r>
        <w:t>，高于各项贷款同比增幅</w:t>
      </w:r>
      <w:r>
        <w:t>14.18</w:t>
      </w:r>
      <w:r>
        <w:t>个百分点；比年初新增</w:t>
      </w:r>
      <w:r>
        <w:t>57.13</w:t>
      </w:r>
      <w:r>
        <w:t>亿元，比年初增幅</w:t>
      </w:r>
      <w:r>
        <w:t>22.12%</w:t>
      </w:r>
      <w:r>
        <w:t>，高于各项贷款比年初增幅</w:t>
      </w:r>
      <w:r>
        <w:t>10.07</w:t>
      </w:r>
      <w:r>
        <w:t>个百分点。</w:t>
      </w:r>
    </w:p>
    <w:p w:rsidR="00B2536B" w:rsidRDefault="00B2536B" w:rsidP="00720DB2">
      <w:r>
        <w:rPr>
          <w:rFonts w:hint="eastAsia"/>
        </w:rPr>
        <w:t xml:space="preserve">　　一是充分发挥商会作用，探索整体授信模式</w:t>
      </w:r>
    </w:p>
    <w:p w:rsidR="00B2536B" w:rsidRDefault="00B2536B" w:rsidP="00720DB2">
      <w:r>
        <w:rPr>
          <w:rFonts w:hint="eastAsia"/>
        </w:rPr>
        <w:t xml:space="preserve">　　以商会组织为载体打造“银行＋商会”合作模式下的金融服务平台，并将服务对象延伸至“会员＋”。结合诚信体系建设，以镇江市工商联所属各商协会为单位，发挥商协会作用，探索“整体授信”信贷服务模式。运用大数据技术，结合商户经营状况和诚信度，在各商会范围内开展“信用商户”评价和“信用示范户”评定，根据信用评定情况，制定商户信用等级差异化信贷政策。</w:t>
      </w:r>
    </w:p>
    <w:p w:rsidR="00B2536B" w:rsidRDefault="00B2536B" w:rsidP="00720DB2">
      <w:r>
        <w:rPr>
          <w:rFonts w:hint="eastAsia"/>
        </w:rPr>
        <w:t xml:space="preserve">　　二是创新专项金融产品，全力提升服务质效</w:t>
      </w:r>
    </w:p>
    <w:p w:rsidR="00B2536B" w:rsidRDefault="00B2536B" w:rsidP="00720DB2">
      <w:r>
        <w:rPr>
          <w:rFonts w:hint="eastAsia"/>
        </w:rPr>
        <w:t xml:space="preserve">　　立足小微企业、个体工商户“额度小、周期短、频率高、时效强”的融资需求特点，推动金融机构创新金融产品，开发适合小微企业、个体工商户资金需求的小额贷款产品。推广“一次授信、随借随还、循环使用”线上贷款，切实满足小微企业、个体工商户临时性、季节性的资金需求。运用大数据、云计算、区块链等技术，打造“线下＋线上”金融服务模式，拓展线上服务渠道、丰富线上金融产品，有效提升市场主体获贷率。在前不久的甘露行动推进会中，共有</w:t>
      </w:r>
      <w:r>
        <w:t>9</w:t>
      </w:r>
      <w:r>
        <w:t>家银行与</w:t>
      </w:r>
      <w:r>
        <w:t>6</w:t>
      </w:r>
      <w:r>
        <w:t>家商会签订了银商结对服务协议并整体授信超</w:t>
      </w:r>
      <w:r>
        <w:t>10</w:t>
      </w:r>
      <w:r>
        <w:t>亿元，</w:t>
      </w:r>
      <w:r>
        <w:t>5</w:t>
      </w:r>
      <w:r>
        <w:t>家银行为</w:t>
      </w:r>
      <w:r>
        <w:t>5</w:t>
      </w:r>
      <w:r>
        <w:t>家小微企业及个体工商户现</w:t>
      </w:r>
      <w:r>
        <w:rPr>
          <w:rFonts w:hint="eastAsia"/>
        </w:rPr>
        <w:t>场发放信用贷款</w:t>
      </w:r>
      <w:r>
        <w:t>960</w:t>
      </w:r>
      <w:r>
        <w:t>万元。</w:t>
      </w:r>
    </w:p>
    <w:p w:rsidR="00B2536B" w:rsidRDefault="00B2536B" w:rsidP="00720DB2">
      <w:r>
        <w:rPr>
          <w:rFonts w:hint="eastAsia"/>
        </w:rPr>
        <w:t xml:space="preserve">　　三是设立镇江首贷中心，提升金融服务质量</w:t>
      </w:r>
    </w:p>
    <w:p w:rsidR="00B2536B" w:rsidRDefault="00B2536B" w:rsidP="00720DB2">
      <w:r>
        <w:rPr>
          <w:rFonts w:hint="eastAsia"/>
        </w:rPr>
        <w:t xml:space="preserve">　　在镇江市非公经济综合服务中心设立镇江市非公经济首贷中心，人民银行设立</w:t>
      </w:r>
      <w:r>
        <w:t>10</w:t>
      </w:r>
      <w:r>
        <w:t>亿元再贷款专项额度，作为</w:t>
      </w:r>
      <w:r>
        <w:t>“</w:t>
      </w:r>
      <w:r>
        <w:t>首贷中心</w:t>
      </w:r>
      <w:r>
        <w:t>”</w:t>
      </w:r>
      <w:r>
        <w:t>政策激励资金，打造线上＋线下对接平台，提供惠企政策咨询、特色信贷产品推介和首贷业务受理等一站式、便捷化、高质量服务。健全首贷户服务工作机制，完成非公经济无贷户信息采集与共享，推进银行有效对接无贷户。定期发布信贷产品和优惠政策，组织开展信贷政策咨询和产品推介活动。</w:t>
      </w:r>
    </w:p>
    <w:p w:rsidR="00B2536B" w:rsidRDefault="00B2536B" w:rsidP="00720DB2">
      <w:pPr>
        <w:ind w:firstLine="420"/>
      </w:pPr>
      <w:r>
        <w:t>12</w:t>
      </w:r>
      <w:r>
        <w:t>月</w:t>
      </w:r>
      <w:r>
        <w:t>3</w:t>
      </w:r>
      <w:r>
        <w:t>日，镇江市委书记马明龙作出批示，</w:t>
      </w:r>
      <w:r>
        <w:t>“</w:t>
      </w:r>
      <w:r>
        <w:t>工商联与人行共同支持做好小微企业金融服务的做法很好</w:t>
      </w:r>
      <w:r>
        <w:t>”</w:t>
      </w:r>
      <w:r>
        <w:t>。马书记的批示对镇江市工商联服务小微企业、个体工商户是极大的鼓舞和鞭策。下一步，镇江市工商联与人民银行镇江支行将继续做好对接，将</w:t>
      </w:r>
      <w:r>
        <w:t>“</w:t>
      </w:r>
      <w:r>
        <w:t>贷动小生意、服务大民生</w:t>
      </w:r>
      <w:r>
        <w:t>”</w:t>
      </w:r>
      <w:r>
        <w:t>甘露行动作为常规性工作，继续将金融活水向中小微企业、个体工商户精准</w:t>
      </w:r>
      <w:r>
        <w:t>“</w:t>
      </w:r>
      <w:r>
        <w:t>滴灌</w:t>
      </w:r>
      <w:r>
        <w:t>”</w:t>
      </w:r>
      <w:r>
        <w:t>，将商会整体授信向所有商会覆盖。</w:t>
      </w:r>
    </w:p>
    <w:p w:rsidR="00B2536B" w:rsidRPr="00720DB2" w:rsidRDefault="00B2536B" w:rsidP="00720DB2">
      <w:pPr>
        <w:ind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2022-1-15</w:t>
      </w:r>
    </w:p>
    <w:p w:rsidR="00B2536B" w:rsidRDefault="00B2536B" w:rsidP="005A60C3">
      <w:pPr>
        <w:sectPr w:rsidR="00B2536B" w:rsidSect="005A60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581B" w:rsidRDefault="00B4581B"/>
    <w:sectPr w:rsidR="00B458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536B"/>
    <w:rsid w:val="00B2536B"/>
    <w:rsid w:val="00B45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53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53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>Microsoft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2022-07-18T08:51:00Z</dcterms:created>
</cp:coreProperties>
</file>