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8F" w:rsidRDefault="005C6E8F" w:rsidP="002D44A4">
      <w:pPr>
        <w:pStyle w:val="1"/>
        <w:rPr>
          <w:rFonts w:hint="eastAsia"/>
        </w:rPr>
      </w:pPr>
      <w:r w:rsidRPr="002D44A4">
        <w:rPr>
          <w:rFonts w:hint="eastAsia"/>
        </w:rPr>
        <w:t>珠海出台广东省首部地方性民营经济发展规划</w:t>
      </w:r>
    </w:p>
    <w:p w:rsidR="005C6E8F" w:rsidRDefault="005C6E8F" w:rsidP="005C6E8F">
      <w:pPr>
        <w:ind w:firstLineChars="200" w:firstLine="420"/>
      </w:pPr>
      <w:r>
        <w:rPr>
          <w:rFonts w:hint="eastAsia"/>
        </w:rPr>
        <w:t>作为全省首个地方性民营经济发展规划，《珠海市民营经济发展规划》日前正式印发出台。南都记者从市科工信局获悉，该规划由广东省社会科学院产业经济研究所编制，《规划》指明了未来珠海民营经济的发展方向，规划期限为</w:t>
      </w:r>
      <w:r>
        <w:t>2 0 14</w:t>
      </w:r>
      <w:r>
        <w:t>至</w:t>
      </w:r>
      <w:r>
        <w:t>2018</w:t>
      </w:r>
      <w:r>
        <w:t>年。</w:t>
      </w:r>
    </w:p>
    <w:p w:rsidR="005C6E8F" w:rsidRDefault="005C6E8F" w:rsidP="005C6E8F">
      <w:pPr>
        <w:ind w:firstLineChars="200" w:firstLine="420"/>
      </w:pPr>
      <w:r>
        <w:rPr>
          <w:rFonts w:hint="eastAsia"/>
        </w:rPr>
        <w:t>针对目前珠海民企存在的融资难、自主创新能力不强等现状，珠海计划实施“引龙培优、创新转型、集群发展”三大“壮企”行动，以及“松绑开路、通融易贷、培英聚才、激励服务”四大工程，不断优化民营经济发展环境，增强民营企业竞争力。</w:t>
      </w:r>
    </w:p>
    <w:p w:rsidR="005C6E8F" w:rsidRDefault="005C6E8F" w:rsidP="005C6E8F">
      <w:pPr>
        <w:ind w:firstLineChars="200" w:firstLine="420"/>
      </w:pPr>
      <w:r>
        <w:rPr>
          <w:rFonts w:hint="eastAsia"/>
        </w:rPr>
        <w:t>民企进入国际市场困难</w:t>
      </w:r>
    </w:p>
    <w:p w:rsidR="005C6E8F" w:rsidRDefault="005C6E8F" w:rsidP="005C6E8F">
      <w:pPr>
        <w:ind w:firstLineChars="200" w:firstLine="420"/>
      </w:pPr>
      <w:r>
        <w:rPr>
          <w:rFonts w:hint="eastAsia"/>
        </w:rPr>
        <w:t>对策：设立创业投资政府引导基金</w:t>
      </w:r>
    </w:p>
    <w:p w:rsidR="005C6E8F" w:rsidRDefault="005C6E8F" w:rsidP="005C6E8F">
      <w:pPr>
        <w:ind w:firstLineChars="200" w:firstLine="420"/>
      </w:pPr>
      <w:r>
        <w:rPr>
          <w:rFonts w:hint="eastAsia"/>
        </w:rPr>
        <w:t>“为什么小米在中国做得这么好，有质量有成本的优势，走不到西方国家去？主要是知识产权的原因。”日前，在珠举办的第二届留学生海归圆梦座谈会上，留学生代表高智发明公司中国区总裁严圣表示。</w:t>
      </w:r>
    </w:p>
    <w:p w:rsidR="005C6E8F" w:rsidRDefault="005C6E8F" w:rsidP="005C6E8F">
      <w:pPr>
        <w:ind w:firstLineChars="200" w:firstLine="420"/>
      </w:pPr>
      <w:r>
        <w:rPr>
          <w:rFonts w:hint="eastAsia"/>
        </w:rPr>
        <w:t>针对珠海民企产业层次低、自主创新能力不强、品牌战略缺乏的现状，《规划》提出，将开展“创新转型”行动，促进珠海民企实现创新驱动，提升核心竞争力。</w:t>
      </w:r>
    </w:p>
    <w:p w:rsidR="005C6E8F" w:rsidRDefault="005C6E8F" w:rsidP="005C6E8F">
      <w:pPr>
        <w:ind w:firstLineChars="200" w:firstLine="420"/>
      </w:pPr>
      <w:r>
        <w:rPr>
          <w:rFonts w:hint="eastAsia"/>
        </w:rPr>
        <w:t>具体而言，珠海将选择合适高校为载体，建立面向民营企业的公共技术服务平台。同时，将积极辅导重点培育企业申报中国驰名商标、广东省名牌产品和广东省著名商标，帮助解决企业申报名牌过程中遇到的各种难题。对民营企业申请国内外发明专利，将在获得授权后给予一次性资助，并加强对重点企业的品牌商标保护，严打侵权仿冒行为。</w:t>
      </w:r>
    </w:p>
    <w:p w:rsidR="005C6E8F" w:rsidRDefault="005C6E8F" w:rsidP="005C6E8F">
      <w:pPr>
        <w:ind w:firstLineChars="200" w:firstLine="420"/>
      </w:pPr>
      <w:r>
        <w:rPr>
          <w:rFonts w:hint="eastAsia"/>
        </w:rPr>
        <w:t>为提高民营企业国际竞争力，珠海将重点支持民营企业利用自主品牌、自主知识产权和自主营销，开拓国际市场，加快培育国际知名品牌。珠海将设立创业投资政府引导基金，支持科技型企业引入风险投资。在企业管理方面，“建立现代企业产权制度，鼓励有条件的民营企业进行公司制、股份制改造。”《规划》指出。</w:t>
      </w:r>
    </w:p>
    <w:p w:rsidR="005C6E8F" w:rsidRDefault="005C6E8F" w:rsidP="005C6E8F">
      <w:pPr>
        <w:ind w:firstLineChars="200" w:firstLine="420"/>
      </w:pPr>
      <w:r>
        <w:rPr>
          <w:rFonts w:hint="eastAsia"/>
        </w:rPr>
        <w:t>在产业选择方面，《规划》也作出指引，“以全球视野引导民营企业主动参与国际产业分工，主动切入国际产业链高端。”具体而言，珠海将在智能家电、通用航空、轨道交通设备等</w:t>
      </w:r>
      <w:r>
        <w:t>24</w:t>
      </w:r>
      <w:r>
        <w:t>个产业链发展方面鼓励民营企业进入。</w:t>
      </w:r>
    </w:p>
    <w:p w:rsidR="005C6E8F" w:rsidRDefault="005C6E8F" w:rsidP="005C6E8F">
      <w:pPr>
        <w:ind w:firstLineChars="200" w:firstLine="420"/>
      </w:pPr>
      <w:r>
        <w:rPr>
          <w:rFonts w:hint="eastAsia"/>
        </w:rPr>
        <w:t>融资难、用地难、人才不足</w:t>
      </w:r>
    </w:p>
    <w:p w:rsidR="005C6E8F" w:rsidRDefault="005C6E8F" w:rsidP="005C6E8F">
      <w:pPr>
        <w:ind w:firstLineChars="200" w:firstLine="420"/>
      </w:pPr>
      <w:r>
        <w:rPr>
          <w:rFonts w:hint="eastAsia"/>
        </w:rPr>
        <w:t>对策：设立民营企业转贷引导基金</w:t>
      </w:r>
    </w:p>
    <w:p w:rsidR="005C6E8F" w:rsidRDefault="005C6E8F" w:rsidP="005C6E8F">
      <w:pPr>
        <w:ind w:firstLineChars="200" w:firstLine="420"/>
      </w:pPr>
      <w:r>
        <w:rPr>
          <w:rFonts w:hint="eastAsia"/>
        </w:rPr>
        <w:t>“融资难、用地难、技术瓶颈、人才不足、原材料及能源等资源趋紧……”市科工信局相关负责人分析道，珠海民企在发展过程中仍面临各方面生产要素制约。</w:t>
      </w:r>
    </w:p>
    <w:p w:rsidR="005C6E8F" w:rsidRDefault="005C6E8F" w:rsidP="005C6E8F">
      <w:pPr>
        <w:ind w:firstLineChars="200" w:firstLine="420"/>
      </w:pPr>
      <w:r>
        <w:rPr>
          <w:rFonts w:hint="eastAsia"/>
        </w:rPr>
        <w:t>市科工信局相关负责人介绍，珠海计划设立政府创业投资引导基金和珠海民营企业共同注资的珠海股权投资基金，采取市场化运作模式管理基金平台，以股权投资等方式重点支持“三高一特”民营企业发展。同时，珠海将在中小企业“四位一体”融资模式基础上设立民营企业转贷引导基金，帮助民营企业缓解资金周转问题。设立珠海市融资担保平台与小额贷款公司资金调剂中心，为融资担保公司及小额贷款公司提供担保。引入再担保机构，增强融资担保机构的抗风险能力。</w:t>
      </w:r>
    </w:p>
    <w:p w:rsidR="005C6E8F" w:rsidRDefault="005C6E8F" w:rsidP="005C6E8F">
      <w:pPr>
        <w:ind w:firstLineChars="200" w:firstLine="420"/>
      </w:pPr>
      <w:r>
        <w:rPr>
          <w:rFonts w:hint="eastAsia"/>
        </w:rPr>
        <w:t>此外，珠海将加大企业上市扶持力度，对企业股改、上市辅导、国内和境外成功上市的，由市区两级财政分阶段给予奖励。对后备上市企业及在改制中的企业给予一定扶持，对企业股改、在海内外上市融资及国内再融资进行奖励。</w:t>
      </w:r>
    </w:p>
    <w:p w:rsidR="005C6E8F" w:rsidRDefault="005C6E8F" w:rsidP="005C6E8F">
      <w:pPr>
        <w:ind w:firstLineChars="200" w:firstLine="420"/>
      </w:pPr>
      <w:r>
        <w:rPr>
          <w:rFonts w:hint="eastAsia"/>
        </w:rPr>
        <w:t>针对民营企业“小、散、乱”的格局，珠海计划开展“集聚集群”行动，大力推动园区外企业向工业园区搬迁集聚，打造特色产业园区，形成集约发展。同时，优先安排土地和各类生产要素供给，延伸产业链和产品链，实现“抱团发展”，提高整体竞争能力。</w:t>
      </w:r>
    </w:p>
    <w:p w:rsidR="005C6E8F" w:rsidRDefault="005C6E8F" w:rsidP="005C6E8F">
      <w:pPr>
        <w:ind w:firstLineChars="200" w:firstLine="420"/>
      </w:pPr>
      <w:r>
        <w:rPr>
          <w:rFonts w:hint="eastAsia"/>
        </w:rPr>
        <w:t>针对珠海民营企业人才短缺等问题，珠海拟大力实施“培英聚才工程”，优化吸引人才的内外部环境，建立与高层次人才对接帮扶机制。加快横琴“粤港澳人才合作示范区”建设，建立招揽人才的国际网络，打造高端人才集聚地。</w:t>
      </w:r>
    </w:p>
    <w:p w:rsidR="005C6E8F" w:rsidRDefault="005C6E8F" w:rsidP="005C6E8F">
      <w:pPr>
        <w:ind w:firstLineChars="200" w:firstLine="420"/>
      </w:pPr>
      <w:r>
        <w:rPr>
          <w:rFonts w:hint="eastAsia"/>
        </w:rPr>
        <w:t>部分行业准入条件偏高</w:t>
      </w:r>
    </w:p>
    <w:p w:rsidR="005C6E8F" w:rsidRDefault="005C6E8F" w:rsidP="005C6E8F">
      <w:pPr>
        <w:ind w:firstLineChars="200" w:firstLine="420"/>
      </w:pPr>
      <w:r>
        <w:rPr>
          <w:rFonts w:hint="eastAsia"/>
        </w:rPr>
        <w:t>对策：率先试行民间投资“负面清单”管理</w:t>
      </w:r>
    </w:p>
    <w:p w:rsidR="005C6E8F" w:rsidRDefault="005C6E8F" w:rsidP="005C6E8F">
      <w:pPr>
        <w:ind w:firstLineChars="200" w:firstLine="420"/>
      </w:pPr>
      <w:r>
        <w:rPr>
          <w:rFonts w:hint="eastAsia"/>
        </w:rPr>
        <w:t>珠海民企财税支持力度有待加强，融资困难依然突出；涉企收费偏多偏高，民营企业负担依然较重；公共服务基础设施薄弱，服务质量有待提高；行业性垄断依然存在，部分行业准入条件依然偏高；民营企业创业门槛较高，企业设立前置审批复杂。</w:t>
      </w:r>
    </w:p>
    <w:p w:rsidR="005C6E8F" w:rsidRDefault="005C6E8F" w:rsidP="005C6E8F">
      <w:pPr>
        <w:ind w:firstLineChars="200" w:firstLine="420"/>
      </w:pPr>
      <w:r>
        <w:rPr>
          <w:rFonts w:hint="eastAsia"/>
        </w:rPr>
        <w:t>针对民营企业不公平的市场待遇以及众多投资领域限制，严重制约民营经济的发展活力和潜力，珠海拟实施民营企业“松绑开路工程”，率先试行民间投资“负面清单”管理，全面放开民营企业投资限制，营造民营企业公平发展环境，进一步解放民营企业生产力。</w:t>
      </w:r>
    </w:p>
    <w:p w:rsidR="005C6E8F" w:rsidRDefault="005C6E8F" w:rsidP="005C6E8F">
      <w:pPr>
        <w:ind w:firstLineChars="200" w:firstLine="420"/>
      </w:pPr>
      <w:r>
        <w:rPr>
          <w:rFonts w:hint="eastAsia"/>
        </w:rPr>
        <w:t>《规划》指出，珠海将消除各种隐性壁垒，制定非公有制企业进入特许经营领域具体办法。降低民营资本投资门槛，切实实施凡允许国资、外资进入的投资领域，一律对民间资本开放。鼓励民间资本参与基础设施和公用事业项目投资，在政府采购、重大工程、公共服务等领域实行均衡竞争、开放透明原则。此外，珠海将大力开展“清费减负”，严格按照标准收费，并实行收费公示制度。</w:t>
      </w:r>
    </w:p>
    <w:p w:rsidR="005C6E8F" w:rsidRDefault="005C6E8F" w:rsidP="005C6E8F">
      <w:pPr>
        <w:ind w:firstLineChars="200" w:firstLine="420"/>
      </w:pPr>
      <w:r>
        <w:rPr>
          <w:rFonts w:hint="eastAsia"/>
        </w:rPr>
        <w:t>五年《规划》</w:t>
      </w:r>
    </w:p>
    <w:p w:rsidR="005C6E8F" w:rsidRDefault="005C6E8F" w:rsidP="005C6E8F">
      <w:pPr>
        <w:ind w:firstLineChars="200" w:firstLine="420"/>
        <w:rPr>
          <w:rFonts w:hint="eastAsia"/>
        </w:rPr>
      </w:pPr>
      <w:r>
        <w:rPr>
          <w:rFonts w:hint="eastAsia"/>
        </w:rPr>
        <w:t>到</w:t>
      </w:r>
      <w:r>
        <w:t>2016</w:t>
      </w:r>
      <w:r>
        <w:t>年，全市民营经济增加值占全市</w:t>
      </w:r>
      <w:r>
        <w:t>GDP</w:t>
      </w:r>
      <w:r>
        <w:t>比重达到</w:t>
      </w:r>
      <w:r>
        <w:t>45%</w:t>
      </w:r>
      <w:r>
        <w:t>；全市高新技术企业中，民营企业占</w:t>
      </w:r>
      <w:r>
        <w:t>75%</w:t>
      </w:r>
      <w:r>
        <w:t>以上；全市国家级、省级名牌名标，民营企业占</w:t>
      </w:r>
      <w:r>
        <w:t>85%</w:t>
      </w:r>
      <w:r>
        <w:t>。</w:t>
      </w:r>
    </w:p>
    <w:p w:rsidR="005C6E8F" w:rsidRDefault="005C6E8F" w:rsidP="005C6E8F">
      <w:pPr>
        <w:ind w:firstLineChars="200" w:firstLine="420"/>
        <w:rPr>
          <w:rFonts w:hint="eastAsia"/>
        </w:rPr>
      </w:pPr>
      <w:r w:rsidRPr="002D44A4">
        <w:rPr>
          <w:rFonts w:hint="eastAsia"/>
        </w:rPr>
        <w:t>见习记者陈相利</w:t>
      </w:r>
    </w:p>
    <w:p w:rsidR="005C6E8F" w:rsidRDefault="005C6E8F" w:rsidP="005C6E8F">
      <w:pPr>
        <w:ind w:firstLineChars="200" w:firstLine="420"/>
        <w:jc w:val="right"/>
        <w:rPr>
          <w:rFonts w:hint="eastAsia"/>
        </w:rPr>
      </w:pPr>
      <w:r w:rsidRPr="002D44A4">
        <w:rPr>
          <w:rFonts w:hint="eastAsia"/>
        </w:rPr>
        <w:t>南方都市报</w:t>
      </w:r>
      <w:smartTag w:uri="urn:schemas-microsoft-com:office:smarttags" w:element="chsdate">
        <w:smartTagPr>
          <w:attr w:name="IsROCDate" w:val="False"/>
          <w:attr w:name="IsLunarDate" w:val="False"/>
          <w:attr w:name="Day" w:val="17"/>
          <w:attr w:name="Month" w:val="12"/>
          <w:attr w:name="Year" w:val="2014"/>
        </w:smartTagPr>
        <w:r>
          <w:t>2014-12-17</w:t>
        </w:r>
      </w:smartTag>
    </w:p>
    <w:p w:rsidR="005C6E8F" w:rsidRDefault="005C6E8F" w:rsidP="009F0E89">
      <w:pPr>
        <w:sectPr w:rsidR="005C6E8F" w:rsidSect="009F0E89">
          <w:type w:val="continuous"/>
          <w:pgSz w:w="11906" w:h="16838" w:code="9"/>
          <w:pgMar w:top="1644" w:right="1236" w:bottom="1418" w:left="1814" w:header="851" w:footer="907" w:gutter="0"/>
          <w:pgNumType w:start="1"/>
          <w:cols w:space="425"/>
          <w:docGrid w:type="lines" w:linePitch="341" w:charSpace="2373"/>
        </w:sectPr>
      </w:pPr>
    </w:p>
    <w:p w:rsidR="00FD159B" w:rsidRDefault="00FD159B"/>
    <w:sectPr w:rsidR="00FD159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C6E8F"/>
    <w:rsid w:val="005C6E8F"/>
    <w:rsid w:val="00FD15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C6E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C6E8F"/>
    <w:rPr>
      <w:rFonts w:ascii="黑体" w:eastAsia="黑体" w:hAnsi="宋体" w:cs="Times New Roman"/>
      <w:b/>
      <w:kern w:val="36"/>
      <w:sz w:val="32"/>
      <w:szCs w:val="32"/>
    </w:rPr>
  </w:style>
  <w:style w:type="paragraph" w:customStyle="1" w:styleId="Char2CharCharChar">
    <w:name w:val="Char2 Char Char Char"/>
    <w:basedOn w:val="a"/>
    <w:autoRedefine/>
    <w:rsid w:val="005C6E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1699</Characters>
  <Application>Microsoft Office Word</Application>
  <DocSecurity>0</DocSecurity>
  <Lines>14</Lines>
  <Paragraphs>3</Paragraphs>
  <ScaleCrop>false</ScaleCrop>
  <Company>Microsoft</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