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5153" w:rsidRDefault="008D5153" w:rsidP="000E2F3F">
      <w:pPr>
        <w:pStyle w:val="1"/>
      </w:pPr>
      <w:r>
        <w:rPr>
          <w:rFonts w:hint="eastAsia"/>
        </w:rPr>
        <w:t>内蒙古：党建引领</w:t>
      </w:r>
      <w:r>
        <w:t xml:space="preserve"> 融合聚力 着力推动非公经济高质量发展</w:t>
      </w:r>
    </w:p>
    <w:p w:rsidR="008D5153" w:rsidRDefault="008D5153" w:rsidP="00FB4C46">
      <w:pPr>
        <w:spacing w:line="245" w:lineRule="auto"/>
      </w:pPr>
      <w:r>
        <w:rPr>
          <w:rFonts w:hint="eastAsia"/>
        </w:rPr>
        <w:t xml:space="preserve">　　赤峰市工商联认真贯彻落实赤峰市委关于融合党建工作的部署要求，深入思考、积极探索，在全市非公经济领域内创新开展融合党建工作，推动非公党建工作由“单打独斗”向深度融合转变，实现党的建设与企业发展互促共赢，为非公经济高质量发展提供坚实的组织保障。</w:t>
      </w:r>
      <w:r>
        <w:t xml:space="preserve"> </w:t>
      </w:r>
    </w:p>
    <w:p w:rsidR="008D5153" w:rsidRDefault="008D5153" w:rsidP="00FB4C46">
      <w:pPr>
        <w:spacing w:line="245" w:lineRule="auto"/>
      </w:pPr>
      <w:r>
        <w:rPr>
          <w:rFonts w:hint="eastAsia"/>
        </w:rPr>
        <w:t xml:space="preserve">　　一、工作背景</w:t>
      </w:r>
    </w:p>
    <w:p w:rsidR="008D5153" w:rsidRDefault="008D5153" w:rsidP="00FB4C46">
      <w:pPr>
        <w:spacing w:line="245" w:lineRule="auto"/>
      </w:pPr>
      <w:r>
        <w:rPr>
          <w:rFonts w:hint="eastAsia"/>
        </w:rPr>
        <w:t xml:space="preserve">　　非公有制经济是经济社会发展的重要基础。截止</w:t>
      </w:r>
      <w:r>
        <w:t>2018</w:t>
      </w:r>
      <w:r>
        <w:t>年底，赤峰市非公经济市场主体达到</w:t>
      </w:r>
      <w:r>
        <w:t>27</w:t>
      </w:r>
      <w:r>
        <w:t>万多户，占全部市场主体的</w:t>
      </w:r>
      <w:r>
        <w:t>97.78%</w:t>
      </w:r>
      <w:r>
        <w:t>；非公经济创造了全市近</w:t>
      </w:r>
      <w:r>
        <w:t>55%</w:t>
      </w:r>
      <w:r>
        <w:t>的</w:t>
      </w:r>
      <w:r>
        <w:t>GDP</w:t>
      </w:r>
      <w:r>
        <w:t>；</w:t>
      </w:r>
      <w:r>
        <w:t>65%</w:t>
      </w:r>
      <w:r>
        <w:t>规模以上固定资产投资；</w:t>
      </w:r>
      <w:r>
        <w:t>70%</w:t>
      </w:r>
      <w:r>
        <w:t>以上的城镇稳定就业；</w:t>
      </w:r>
      <w:r>
        <w:t>80%</w:t>
      </w:r>
      <w:r>
        <w:t>以上的税收；</w:t>
      </w:r>
      <w:r>
        <w:t>90%</w:t>
      </w:r>
      <w:r>
        <w:t>以上的外贸出口、新增就业和社会消费品零售总额。可以说，非公经济在经济社会发展中起到至关重要的作用。同蓬勃发展的非公经济相比，非公党建工作还不同程度存在着</w:t>
      </w:r>
      <w:r>
        <w:t>“</w:t>
      </w:r>
      <w:r>
        <w:t>短板</w:t>
      </w:r>
      <w:r>
        <w:t>”</w:t>
      </w:r>
      <w:r>
        <w:t>和薄弱环节，如党的组织和工作覆盖率有待提高；非公企业重视党组织建立轻视党组织管理的现象仍未消除；党建工作和生产</w:t>
      </w:r>
      <w:r>
        <w:rPr>
          <w:rFonts w:hint="eastAsia"/>
        </w:rPr>
        <w:t>经营“两张皮”的问题仍不同程度存在；党组织活动经费和场所得不到有力保障等，以上问题一直是全市工商联系统抓非公党建工作的瓶颈所在。自赤峰市推进全领域党建融合工作以来，赤峰市工商联结合工作实际，创新开展融合党建工作，这对突破非公党建工作的瓶颈来说尤为迫切和必要。</w:t>
      </w:r>
    </w:p>
    <w:p w:rsidR="008D5153" w:rsidRDefault="008D5153" w:rsidP="00FB4C46">
      <w:pPr>
        <w:spacing w:line="245" w:lineRule="auto"/>
      </w:pPr>
      <w:r>
        <w:rPr>
          <w:rFonts w:hint="eastAsia"/>
        </w:rPr>
        <w:t xml:space="preserve">　　二、做法成效</w:t>
      </w:r>
    </w:p>
    <w:p w:rsidR="008D5153" w:rsidRDefault="008D5153" w:rsidP="00FB4C46">
      <w:pPr>
        <w:spacing w:line="245" w:lineRule="auto"/>
      </w:pPr>
      <w:r>
        <w:rPr>
          <w:rFonts w:hint="eastAsia"/>
        </w:rPr>
        <w:t xml:space="preserve">　　赤峰市工商联系统充分发挥党和政府联系非公企业的桥梁纽带作用，坚持因需而联、联企业所需，围绕推进“两个覆盖”、发挥“两个作用”、促进“两个健康”精准发力，着力构建党建引领、融合聚力、共享共赢的非公企业融合党建工作格局。</w:t>
      </w:r>
    </w:p>
    <w:p w:rsidR="008D5153" w:rsidRDefault="008D5153" w:rsidP="00FB4C46">
      <w:pPr>
        <w:spacing w:line="245" w:lineRule="auto"/>
      </w:pPr>
      <w:r>
        <w:rPr>
          <w:rFonts w:hint="eastAsia"/>
        </w:rPr>
        <w:t xml:space="preserve">　　（一）围绕“两个覆盖”，注重统筹推进，加强非公企业党的全面领导。党的全面领导、党的全部工作要靠党的坚强组织体系去实现，市工商联把建制性党组织建设与推进融合党建工作相结合，持续巩固扩大党的组织和工作覆盖。一方面，持续发力抓好党组织组建。始终按照规模以上抓巩固、规模以下抓拓展、有党员的抓组织覆盖、无党员的抓工作覆盖的思路</w:t>
      </w:r>
      <w:r>
        <w:t>,</w:t>
      </w:r>
      <w:r>
        <w:t>一手抓组建、促组织覆盖，一手抓规范、促作用发挥，持续推动党的组织和党的工作实现全覆盖。</w:t>
      </w:r>
      <w:r>
        <w:t>2018</w:t>
      </w:r>
      <w:r>
        <w:t>年，新组建非公企业党组织</w:t>
      </w:r>
      <w:r>
        <w:t>43</w:t>
      </w:r>
      <w:r>
        <w:t>个，发展党员</w:t>
      </w:r>
      <w:r>
        <w:t>220</w:t>
      </w:r>
      <w:r>
        <w:t>名，全市民营企业党组织覆盖率达到</w:t>
      </w:r>
      <w:r>
        <w:t>74.2%</w:t>
      </w:r>
      <w:r>
        <w:t>。另一</w:t>
      </w:r>
      <w:r>
        <w:rPr>
          <w:rFonts w:hint="eastAsia"/>
        </w:rPr>
        <w:t>方面，统筹推进系统内融合党建。赤峰市工商联分四步开展本系统内融合党建工作：</w:t>
      </w:r>
      <w:r>
        <w:t>2019</w:t>
      </w:r>
      <w:r>
        <w:t>年上半年，在</w:t>
      </w:r>
      <w:r>
        <w:t>49</w:t>
      </w:r>
      <w:r>
        <w:t>家兼职副主席、副会长企业中开展融合党建工作，并在全市范围内新建工商联主导的融合党建示范点</w:t>
      </w:r>
      <w:r>
        <w:t>26</w:t>
      </w:r>
      <w:r>
        <w:t>个，初步建立赤峰市工商联非公企业融合党建共同体；</w:t>
      </w:r>
      <w:r>
        <w:t>2019</w:t>
      </w:r>
      <w:r>
        <w:t>年下半年，将工作延伸至全市工商联系统</w:t>
      </w:r>
      <w:r>
        <w:t>169</w:t>
      </w:r>
      <w:r>
        <w:t>个直属行业商协会和</w:t>
      </w:r>
      <w:r>
        <w:t>94</w:t>
      </w:r>
      <w:r>
        <w:t>家常委企业；</w:t>
      </w:r>
      <w:r>
        <w:t>2020</w:t>
      </w:r>
      <w:r>
        <w:t>年，将工作范围扩大至</w:t>
      </w:r>
      <w:r>
        <w:t>248</w:t>
      </w:r>
      <w:r>
        <w:t>家执委企业及外埠商会；</w:t>
      </w:r>
      <w:r>
        <w:t>2021</w:t>
      </w:r>
      <w:r>
        <w:t>年，将工作范围扩大至</w:t>
      </w:r>
      <w:r>
        <w:t>7014</w:t>
      </w:r>
      <w:r>
        <w:t>家会员企业，实现全体会员企业党建工作全覆盖。</w:t>
      </w:r>
    </w:p>
    <w:p w:rsidR="008D5153" w:rsidRDefault="008D5153" w:rsidP="00FB4C46">
      <w:pPr>
        <w:spacing w:line="245" w:lineRule="auto"/>
      </w:pPr>
      <w:r>
        <w:rPr>
          <w:rFonts w:hint="eastAsia"/>
        </w:rPr>
        <w:t xml:space="preserve">　　（二）突出“两个作用”，优化工作机制，推进非公企业党建全面过硬。着眼于提升非公企业党组织组织力，充分发挥政治核心和政治引领作用，通过建立健全融合党建工作机制，不断提升非公企业党建工作整体水平。一是建立活动共搞机制。融合党建成员单位党组织轮值主导</w:t>
      </w:r>
      <w:r>
        <w:t>,</w:t>
      </w:r>
      <w:r>
        <w:t>其他融合党组织共同参与，定期开展与企业生产经营密切相关的融合党建活动，成员单位同过组织生活、同上生动党课、同受党性教育。截止目前，全市各非公企业党员参与融合党建党组织活动达</w:t>
      </w:r>
      <w:r>
        <w:t>11000</w:t>
      </w:r>
      <w:r>
        <w:t>余人次。二是建立资源共享机制。充分发挥党组织政治核心作用，整合各方资源，帮助非公</w:t>
      </w:r>
      <w:r>
        <w:rPr>
          <w:rFonts w:hint="eastAsia"/>
        </w:rPr>
        <w:t>企业落实队伍、经费、阵地等保障，为开展党建工作提供有力支撑。全市综合利用</w:t>
      </w:r>
      <w:r>
        <w:t>14</w:t>
      </w:r>
      <w:r>
        <w:t>个园区党群服务中心和融合党建党组织内各类阵地资源，为</w:t>
      </w:r>
      <w:r>
        <w:t>210</w:t>
      </w:r>
      <w:r>
        <w:t>多个非公企业党组织解决了阵地问题。三是建立供需对接机制。党组织牵头引领，围绕企业需求，有效整合相关单位的政策、项目、资金、人才等业务资源，打破原有隶属关系，坚持问题导向，通过开展融合党建活动，实现双向对接，及时为企业解决生产经营中遇到的各类问题。截止目前，全市工商联系统梳理确定匹配涉企资源项目清单</w:t>
      </w:r>
      <w:r>
        <w:t>1600</w:t>
      </w:r>
      <w:r>
        <w:t>余个，帮助非公企业解决各类实际问题</w:t>
      </w:r>
      <w:r>
        <w:t>1400</w:t>
      </w:r>
      <w:r>
        <w:t>余个。</w:t>
      </w:r>
    </w:p>
    <w:p w:rsidR="008D5153" w:rsidRDefault="008D5153" w:rsidP="00FB4C46">
      <w:pPr>
        <w:spacing w:line="245" w:lineRule="auto"/>
      </w:pPr>
      <w:r>
        <w:rPr>
          <w:rFonts w:hint="eastAsia"/>
        </w:rPr>
        <w:t xml:space="preserve">　　（三）聚焦“两个健康”，坚持因需而联，推动非公企业高质量发展。坚持把促进非公经济健康发展和非公经济人士健康成长作为推动融合党建的切入点和发力点，充分发挥融合党建党组织的优势，帮助非公企业解决生产发展中的难题。一是减轻企业税费负担。探索推行“税地企”融合党建模式，为企业提供政策咨询、风险预估等个性化服务，降低税收成本，减轻企业负担。如阿鲁科尔沁旗税务局党支部与</w:t>
      </w:r>
      <w:r>
        <w:t>8</w:t>
      </w:r>
      <w:r>
        <w:t>家非公企业党组织建立</w:t>
      </w:r>
      <w:r>
        <w:t>“</w:t>
      </w:r>
      <w:r>
        <w:t>税地企</w:t>
      </w:r>
      <w:r>
        <w:t>”</w:t>
      </w:r>
      <w:r>
        <w:t>联合党组织，帮助山水水泥公司、敖仑花矿业公司等</w:t>
      </w:r>
      <w:r>
        <w:t>8</w:t>
      </w:r>
      <w:r>
        <w:t>家企业减免税费</w:t>
      </w:r>
      <w:r>
        <w:t>600</w:t>
      </w:r>
      <w:r>
        <w:t>多万元。二是优化营商环境。探索推行</w:t>
      </w:r>
      <w:r>
        <w:t>“</w:t>
      </w:r>
      <w:r>
        <w:t>企业机关</w:t>
      </w:r>
      <w:r>
        <w:t>”</w:t>
      </w:r>
      <w:r>
        <w:t>融</w:t>
      </w:r>
      <w:r>
        <w:rPr>
          <w:rFonts w:hint="eastAsia"/>
        </w:rPr>
        <w:t>合党建模式，推动行业部门在市场准入、审批许可、经营运行等方面靠前服务。如市政务服务局党支部与赤峰青年企业家商会党支部联建共建，在青年企业家商会设立政务服务代办点，为商会</w:t>
      </w:r>
      <w:r>
        <w:t>180</w:t>
      </w:r>
      <w:r>
        <w:t>余家会员企业提供方便快捷的政务服务事项办理通道。三是破解融资难融资贵问题。探索推行</w:t>
      </w:r>
      <w:r>
        <w:t>“</w:t>
      </w:r>
      <w:r>
        <w:t>银企</w:t>
      </w:r>
      <w:r>
        <w:t>”</w:t>
      </w:r>
      <w:r>
        <w:t>融合党建模式，搭建非公企业与金融机构交流合作平台。如林西县佰惠生公司党组织与中国农业发展银行林西支行党支部联建共建，通过绿色通道为企业融合</w:t>
      </w:r>
      <w:r>
        <w:t>5000</w:t>
      </w:r>
      <w:r>
        <w:t>万元，有效解决了企业在生产旺季流动资金短缺的问题。</w:t>
      </w:r>
    </w:p>
    <w:p w:rsidR="008D5153" w:rsidRDefault="008D5153" w:rsidP="00FB4C46">
      <w:pPr>
        <w:spacing w:line="245" w:lineRule="auto"/>
        <w:ind w:firstLine="420"/>
        <w:rPr>
          <w:rFonts w:hint="eastAsia"/>
        </w:rPr>
      </w:pPr>
      <w:r>
        <w:rPr>
          <w:rFonts w:hint="eastAsia"/>
        </w:rPr>
        <w:t>下一步，赤峰市工商联系统将继续以融合党建为抓手，引导更多非公企业广泛参与到融合党建中，推动党的建设与企业发展深度融合，真正把党建优势转化成为企业发展优势、党建活力转化成为企业发展活力，为非公经济实现高质量发展汇聚强大能量，提供坚实的组织保障。</w:t>
      </w:r>
    </w:p>
    <w:p w:rsidR="008D5153" w:rsidRDefault="008D5153" w:rsidP="00FB4C46">
      <w:pPr>
        <w:ind w:firstLine="420"/>
        <w:jc w:val="right"/>
        <w:rPr>
          <w:rFonts w:hint="eastAsia"/>
        </w:rPr>
      </w:pPr>
      <w:r>
        <w:t>内蒙古自治区工商联</w:t>
      </w:r>
      <w:r>
        <w:t>2019-09-23</w:t>
      </w:r>
    </w:p>
    <w:p w:rsidR="008D5153" w:rsidRDefault="008D5153" w:rsidP="009E215D">
      <w:pPr>
        <w:sectPr w:rsidR="008D5153" w:rsidSect="009E215D">
          <w:type w:val="continuous"/>
          <w:pgSz w:w="11906" w:h="16838" w:code="9"/>
          <w:pgMar w:top="1644" w:right="1236" w:bottom="1418" w:left="1814" w:header="851" w:footer="907" w:gutter="0"/>
          <w:pgNumType w:start="1"/>
          <w:cols w:space="425"/>
          <w:docGrid w:type="lines" w:linePitch="341" w:charSpace="2373"/>
        </w:sectPr>
      </w:pPr>
    </w:p>
    <w:p w:rsidR="00547E71" w:rsidRDefault="00547E71"/>
    <w:sectPr w:rsidR="00547E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5153"/>
    <w:rsid w:val="00547E71"/>
    <w:rsid w:val="008D51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D5153"/>
    <w:pPr>
      <w:widowControl/>
      <w:spacing w:before="100" w:beforeAutospacing="1" w:after="100" w:afterAutospacing="1"/>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D5153"/>
    <w:rPr>
      <w:rFonts w:ascii="黑体" w:eastAsia="黑体" w:hAnsi="宋体" w:cs="Times New Roman"/>
      <w:b/>
      <w:kern w:val="36"/>
      <w:sz w:val="32"/>
      <w:szCs w:val="32"/>
    </w:rPr>
  </w:style>
  <w:style w:type="paragraph" w:customStyle="1" w:styleId="Char2CharCharChar">
    <w:name w:val="Char2 Char Char Char"/>
    <w:basedOn w:val="a"/>
    <w:autoRedefine/>
    <w:rsid w:val="008D515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341</Words>
  <Characters>1944</Characters>
  <Application>Microsoft Office Word</Application>
  <DocSecurity>0</DocSecurity>
  <Lines>16</Lines>
  <Paragraphs>4</Paragraphs>
  <ScaleCrop>false</ScaleCrop>
  <Company>Microsoft</Company>
  <LinksUpToDate>false</LinksUpToDate>
  <CharactersWithSpaces>2281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2022-07-17T10:17:00Z</dcterms:created>
</cp:coreProperties>
</file>