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7622" w:rsidRPr="00E63FC4" w:rsidRDefault="00BE7622" w:rsidP="0015004C">
      <w:pPr>
        <w:pStyle w:val="1"/>
      </w:pPr>
      <w:r w:rsidRPr="00E63FC4">
        <w:rPr>
          <w:rFonts w:hint="eastAsia"/>
        </w:rPr>
        <w:t>稳中加固、稳中向好、稳中有新</w:t>
      </w:r>
      <w:r w:rsidRPr="00E63FC4">
        <w:t xml:space="preserve"> 2021年重庆经济实现高质量发展</w:t>
      </w:r>
    </w:p>
    <w:p w:rsidR="00BE7622" w:rsidRDefault="00BE7622" w:rsidP="00BE7622">
      <w:pPr>
        <w:ind w:firstLineChars="200" w:firstLine="420"/>
        <w:jc w:val="left"/>
      </w:pPr>
      <w:r>
        <w:rPr>
          <w:rFonts w:hint="eastAsia"/>
        </w:rPr>
        <w:t>今（</w:t>
      </w:r>
      <w:r>
        <w:t>19</w:t>
      </w:r>
      <w:r>
        <w:t>）日，华龙网</w:t>
      </w:r>
      <w:r>
        <w:t>-</w:t>
      </w:r>
      <w:r>
        <w:t>新重庆客户端记者从</w:t>
      </w:r>
      <w:r>
        <w:t>2021</w:t>
      </w:r>
      <w:r>
        <w:t>年重庆市经济运行情况新闻发布会上获悉，</w:t>
      </w:r>
      <w:r>
        <w:t>2021</w:t>
      </w:r>
      <w:r>
        <w:t>年重庆实现地区生产总值</w:t>
      </w:r>
      <w:r>
        <w:t>27894.02</w:t>
      </w:r>
      <w:r>
        <w:t>亿元，比上年增长</w:t>
      </w:r>
      <w:r>
        <w:t>8.3%</w:t>
      </w:r>
      <w:r>
        <w:t>。全市经济持续稳定恢复，各领域呈现向好态势，新动能发展活力凸显，经济发展的韧性不断增强，总体呈现稳中加固、稳中向好的发展态势，高质量发展取得新成效，实现了</w:t>
      </w:r>
      <w:r>
        <w:t>“</w:t>
      </w:r>
      <w:r>
        <w:t>十四五</w:t>
      </w:r>
      <w:r>
        <w:t>”</w:t>
      </w:r>
      <w:r>
        <w:t>良好开局。</w:t>
      </w:r>
    </w:p>
    <w:p w:rsidR="00BE7622" w:rsidRDefault="00BE7622" w:rsidP="00BE7622">
      <w:pPr>
        <w:ind w:firstLineChars="200" w:firstLine="420"/>
        <w:jc w:val="left"/>
      </w:pPr>
      <w:r>
        <w:rPr>
          <w:rFonts w:hint="eastAsia"/>
        </w:rPr>
        <w:t>稳中加固，全市经济持续稳定恢复</w:t>
      </w:r>
    </w:p>
    <w:p w:rsidR="00BE7622" w:rsidRDefault="00BE7622" w:rsidP="00BE7622">
      <w:pPr>
        <w:ind w:firstLineChars="200" w:firstLine="420"/>
        <w:jc w:val="left"/>
      </w:pPr>
      <w:r>
        <w:t>2021</w:t>
      </w:r>
      <w:r>
        <w:t>年，全市实现地区生产总值</w:t>
      </w:r>
      <w:r>
        <w:t>27894.02</w:t>
      </w:r>
      <w:r>
        <w:t>亿元，比上年增长</w:t>
      </w:r>
      <w:r>
        <w:t>8.3%</w:t>
      </w:r>
      <w:r>
        <w:t>，高于全国</w:t>
      </w:r>
      <w:r>
        <w:t>0.2</w:t>
      </w:r>
      <w:r>
        <w:t>个百分点。据初步测算，全市的人均</w:t>
      </w:r>
      <w:r>
        <w:t>GDP</w:t>
      </w:r>
      <w:r>
        <w:t>为</w:t>
      </w:r>
      <w:r>
        <w:t>86885</w:t>
      </w:r>
      <w:r>
        <w:t>元，比上年增长</w:t>
      </w:r>
      <w:r>
        <w:t>7.8%</w:t>
      </w:r>
      <w:r>
        <w:t>，比全国高</w:t>
      </w:r>
      <w:r>
        <w:t>5909</w:t>
      </w:r>
      <w:r>
        <w:t>元；按年平均汇率折算，人均</w:t>
      </w:r>
      <w:r>
        <w:t>GDP</w:t>
      </w:r>
      <w:r>
        <w:t>达到</w:t>
      </w:r>
      <w:r>
        <w:t>13467</w:t>
      </w:r>
      <w:r>
        <w:t>美元。</w:t>
      </w:r>
    </w:p>
    <w:p w:rsidR="00BE7622" w:rsidRDefault="00BE7622" w:rsidP="00BE7622">
      <w:pPr>
        <w:ind w:firstLineChars="200" w:firstLine="420"/>
        <w:jc w:val="left"/>
      </w:pPr>
      <w:r>
        <w:rPr>
          <w:rFonts w:hint="eastAsia"/>
        </w:rPr>
        <w:t>生产领域持续恢复。农业生产稳中有进，全市粮食总产量增长</w:t>
      </w:r>
      <w:r>
        <w:t>1.1%</w:t>
      </w:r>
      <w:r>
        <w:t>；工业生产稳定增长，规上工业增加值增长</w:t>
      </w:r>
      <w:r>
        <w:t>10.7%</w:t>
      </w:r>
      <w:r>
        <w:t>；商贸流通稳中趋缓，批发业和零售业实现销售额分别增长</w:t>
      </w:r>
      <w:r>
        <w:t>27.2%</w:t>
      </w:r>
      <w:r>
        <w:t>和</w:t>
      </w:r>
      <w:r>
        <w:t>18.5%</w:t>
      </w:r>
      <w:r>
        <w:t>，住宿和餐饮业实现营业额分别增长</w:t>
      </w:r>
      <w:r>
        <w:t>23.1%</w:t>
      </w:r>
      <w:r>
        <w:t>和</w:t>
      </w:r>
      <w:r>
        <w:t>26.5%</w:t>
      </w:r>
      <w:r>
        <w:t>；规上服务业稳步复苏，</w:t>
      </w:r>
      <w:r>
        <w:t>1-11</w:t>
      </w:r>
      <w:r>
        <w:t>月，全市规上服务业企业实现营业收入同比增长</w:t>
      </w:r>
      <w:r>
        <w:t>19.9%</w:t>
      </w:r>
      <w:r>
        <w:t>。</w:t>
      </w:r>
    </w:p>
    <w:p w:rsidR="00BE7622" w:rsidRDefault="00BE7622" w:rsidP="00BE7622">
      <w:pPr>
        <w:ind w:firstLineChars="200" w:firstLine="420"/>
        <w:jc w:val="left"/>
      </w:pPr>
      <w:r>
        <w:rPr>
          <w:rFonts w:hint="eastAsia"/>
        </w:rPr>
        <w:t>需求领域总体平稳。投资缓中趋稳，全市固定资产投资比上年增长</w:t>
      </w:r>
      <w:r>
        <w:t>6.1%</w:t>
      </w:r>
      <w:r>
        <w:t>；消费市场持续复苏，全市社会消费品零售总额增长</w:t>
      </w:r>
      <w:r>
        <w:t>18.5%</w:t>
      </w:r>
      <w:r>
        <w:t>。</w:t>
      </w:r>
    </w:p>
    <w:p w:rsidR="00BE7622" w:rsidRDefault="00BE7622" w:rsidP="00BE7622">
      <w:pPr>
        <w:ind w:firstLineChars="200" w:firstLine="420"/>
        <w:jc w:val="left"/>
      </w:pPr>
      <w:r>
        <w:rPr>
          <w:rFonts w:hint="eastAsia"/>
        </w:rPr>
        <w:t>要素保障稳定支撑。能源供给保持稳定，交通运输业平稳运行，金融行业运行稳健。</w:t>
      </w:r>
    </w:p>
    <w:p w:rsidR="00BE7622" w:rsidRDefault="00BE7622" w:rsidP="00BE7622">
      <w:pPr>
        <w:ind w:firstLineChars="200" w:firstLine="420"/>
        <w:jc w:val="left"/>
      </w:pPr>
      <w:r>
        <w:rPr>
          <w:rFonts w:hint="eastAsia"/>
        </w:rPr>
        <w:t>市场价格稳中有升，工业生产者价格持续上行，居民消费价格总体平稳。</w:t>
      </w:r>
    </w:p>
    <w:p w:rsidR="00BE7622" w:rsidRDefault="00BE7622" w:rsidP="00BE7622">
      <w:pPr>
        <w:ind w:firstLineChars="200" w:firstLine="420"/>
        <w:jc w:val="left"/>
      </w:pPr>
      <w:r>
        <w:rPr>
          <w:rFonts w:hint="eastAsia"/>
        </w:rPr>
        <w:t>各项收入保持提升，财政收入、企业收入和居民收入均保持稳步的增长。</w:t>
      </w:r>
    </w:p>
    <w:p w:rsidR="00BE7622" w:rsidRDefault="00BE7622" w:rsidP="00BE7622">
      <w:pPr>
        <w:ind w:firstLineChars="200" w:firstLine="420"/>
        <w:jc w:val="left"/>
      </w:pPr>
      <w:r>
        <w:rPr>
          <w:rFonts w:hint="eastAsia"/>
        </w:rPr>
        <w:t>稳中提质，多领域呈现向好态势</w:t>
      </w:r>
    </w:p>
    <w:p w:rsidR="00BE7622" w:rsidRDefault="00BE7622" w:rsidP="00BE7622">
      <w:pPr>
        <w:ind w:firstLineChars="200" w:firstLine="420"/>
        <w:jc w:val="left"/>
      </w:pPr>
      <w:r>
        <w:rPr>
          <w:rFonts w:hint="eastAsia"/>
        </w:rPr>
        <w:t>在持续优化投资结构方面，重大项目支撑有力，</w:t>
      </w:r>
      <w:r>
        <w:t>2021</w:t>
      </w:r>
      <w:r>
        <w:t>年全市计划总投资</w:t>
      </w:r>
      <w:r>
        <w:t>10</w:t>
      </w:r>
      <w:r>
        <w:t>亿元以上建设项目完成投资比上年增长</w:t>
      </w:r>
      <w:r>
        <w:t>25.0%</w:t>
      </w:r>
      <w:r>
        <w:t>；工业技改投资保持增长，全年增长</w:t>
      </w:r>
      <w:r>
        <w:t>26.2%</w:t>
      </w:r>
      <w:r>
        <w:t>；民间投资也持续向好，全年增长</w:t>
      </w:r>
      <w:r>
        <w:t>9.3%</w:t>
      </w:r>
      <w:r>
        <w:t>。</w:t>
      </w:r>
    </w:p>
    <w:p w:rsidR="00BE7622" w:rsidRDefault="00BE7622" w:rsidP="00BE7622">
      <w:pPr>
        <w:ind w:firstLineChars="200" w:firstLine="420"/>
        <w:jc w:val="left"/>
      </w:pPr>
      <w:r>
        <w:rPr>
          <w:rFonts w:hint="eastAsia"/>
        </w:rPr>
        <w:t>工业企业质效提升。产能利用率处于较高水平，比上年提高</w:t>
      </w:r>
      <w:r>
        <w:t>2.3</w:t>
      </w:r>
      <w:r>
        <w:t>个百分点；利润保持较快增长，</w:t>
      </w:r>
      <w:r>
        <w:t>1-11</w:t>
      </w:r>
      <w:r>
        <w:t>月利润总额同比增长</w:t>
      </w:r>
      <w:r>
        <w:t>48.3%</w:t>
      </w:r>
      <w:r>
        <w:t>；企业债务风险有所降低，</w:t>
      </w:r>
      <w:r>
        <w:t>1-11</w:t>
      </w:r>
      <w:r>
        <w:t>月资产负债率比上年同期下降</w:t>
      </w:r>
      <w:r>
        <w:t>0.8</w:t>
      </w:r>
      <w:r>
        <w:t>个百分点。</w:t>
      </w:r>
    </w:p>
    <w:p w:rsidR="00BE7622" w:rsidRDefault="00BE7622" w:rsidP="00BE7622">
      <w:pPr>
        <w:ind w:firstLineChars="200" w:firstLine="420"/>
        <w:jc w:val="left"/>
      </w:pPr>
      <w:r>
        <w:rPr>
          <w:rFonts w:hint="eastAsia"/>
        </w:rPr>
        <w:t>民生领域多点发力。民生领域供应保障充分，</w:t>
      </w:r>
      <w:r>
        <w:t>2021</w:t>
      </w:r>
      <w:r>
        <w:t>年全市消费品产业增加值增长</w:t>
      </w:r>
      <w:r>
        <w:t>8.9%</w:t>
      </w:r>
      <w:r>
        <w:t>；社会领域补短板投资较快增长，特别是教育、卫生、文化、体育投资分别增长</w:t>
      </w:r>
      <w:r>
        <w:t>24.8%</w:t>
      </w:r>
      <w:r>
        <w:t>、</w:t>
      </w:r>
      <w:r>
        <w:t>26.3%</w:t>
      </w:r>
      <w:r>
        <w:t>、</w:t>
      </w:r>
      <w:r>
        <w:t>1.4</w:t>
      </w:r>
      <w:r>
        <w:t>倍和</w:t>
      </w:r>
      <w:r>
        <w:t>95.3%</w:t>
      </w:r>
      <w:r>
        <w:t>；民生类消费支撑有力，粮油食品类、饮料类、烟酒类和中西药品类等基础民生和基本生活类商品零售额合计拉动全市限额以上单位零售额增长</w:t>
      </w:r>
      <w:r>
        <w:t>3.7</w:t>
      </w:r>
      <w:r>
        <w:t>个百分点。</w:t>
      </w:r>
    </w:p>
    <w:p w:rsidR="00BE7622" w:rsidRDefault="00BE7622" w:rsidP="00BE7622">
      <w:pPr>
        <w:ind w:firstLineChars="200" w:firstLine="420"/>
        <w:jc w:val="left"/>
      </w:pPr>
      <w:r>
        <w:rPr>
          <w:rFonts w:hint="eastAsia"/>
        </w:rPr>
        <w:t>稳中有新，新动能发展活力凸显</w:t>
      </w:r>
    </w:p>
    <w:p w:rsidR="00BE7622" w:rsidRDefault="00BE7622" w:rsidP="00BE7622">
      <w:pPr>
        <w:ind w:firstLineChars="200" w:firstLine="420"/>
        <w:jc w:val="left"/>
      </w:pPr>
      <w:r>
        <w:rPr>
          <w:rFonts w:hint="eastAsia"/>
        </w:rPr>
        <w:t>新兴制造业快速发展。全市高技术制造业和战略性新兴制造业增加值分别增长</w:t>
      </w:r>
      <w:r>
        <w:t>18.1%</w:t>
      </w:r>
      <w:r>
        <w:t>和</w:t>
      </w:r>
      <w:r>
        <w:t>18.2%</w:t>
      </w:r>
      <w:r>
        <w:t>。</w:t>
      </w:r>
    </w:p>
    <w:p w:rsidR="00BE7622" w:rsidRDefault="00BE7622" w:rsidP="00BE7622">
      <w:pPr>
        <w:ind w:firstLineChars="200" w:firstLine="420"/>
        <w:jc w:val="left"/>
      </w:pPr>
      <w:r>
        <w:rPr>
          <w:rFonts w:hint="eastAsia"/>
        </w:rPr>
        <w:t>数字产业显现新成效。</w:t>
      </w:r>
      <w:r>
        <w:t>1-11</w:t>
      </w:r>
      <w:r>
        <w:t>月，全市数字制造业实现增加值增长</w:t>
      </w:r>
      <w:r>
        <w:t>31.3%</w:t>
      </w:r>
      <w:r>
        <w:t>，规上数字服务业增加值增长</w:t>
      </w:r>
      <w:r>
        <w:t>22.9%</w:t>
      </w:r>
      <w:r>
        <w:t>。</w:t>
      </w:r>
    </w:p>
    <w:p w:rsidR="00BE7622" w:rsidRDefault="00BE7622" w:rsidP="00BE7622">
      <w:pPr>
        <w:ind w:firstLineChars="200" w:firstLine="420"/>
        <w:jc w:val="left"/>
      </w:pPr>
      <w:r>
        <w:rPr>
          <w:rFonts w:hint="eastAsia"/>
        </w:rPr>
        <w:t>新兴产品供销两旺。光缆、工业机器人、锂离子电池、集成电路、液晶显示屏、电子元件、新能源汽车等新产品产量分别增长</w:t>
      </w:r>
      <w:r>
        <w:t>25.5%</w:t>
      </w:r>
      <w:r>
        <w:t>、</w:t>
      </w:r>
      <w:r>
        <w:t>10.3%</w:t>
      </w:r>
      <w:r>
        <w:t>、</w:t>
      </w:r>
      <w:r>
        <w:t>26.6%</w:t>
      </w:r>
      <w:r>
        <w:t>、</w:t>
      </w:r>
      <w:r>
        <w:t>13.4%</w:t>
      </w:r>
      <w:r>
        <w:t>、</w:t>
      </w:r>
      <w:r>
        <w:t>29.7%</w:t>
      </w:r>
      <w:r>
        <w:t>、</w:t>
      </w:r>
      <w:r>
        <w:t>29.0%</w:t>
      </w:r>
      <w:r>
        <w:t>和</w:t>
      </w:r>
      <w:r>
        <w:t>2.5</w:t>
      </w:r>
      <w:r>
        <w:t>倍。</w:t>
      </w:r>
    </w:p>
    <w:p w:rsidR="00BE7622" w:rsidRDefault="00BE7622" w:rsidP="00BE7622">
      <w:pPr>
        <w:ind w:firstLineChars="200" w:firstLine="420"/>
        <w:jc w:val="left"/>
      </w:pPr>
      <w:r>
        <w:rPr>
          <w:rFonts w:hint="eastAsia"/>
        </w:rPr>
        <w:t>网络零售持续快增。全市限额以上单位通过公共网络实现的商品零售额比上年增长</w:t>
      </w:r>
      <w:r>
        <w:t>27.3%</w:t>
      </w:r>
      <w:r>
        <w:t>。</w:t>
      </w:r>
    </w:p>
    <w:p w:rsidR="00BE7622" w:rsidRDefault="00BE7622" w:rsidP="00BE7622">
      <w:pPr>
        <w:ind w:firstLineChars="200" w:firstLine="420"/>
        <w:jc w:val="left"/>
      </w:pPr>
      <w:r>
        <w:rPr>
          <w:rFonts w:hint="eastAsia"/>
        </w:rPr>
        <w:t>现代物流提质增效。</w:t>
      </w:r>
      <w:r>
        <w:t>1-11</w:t>
      </w:r>
      <w:r>
        <w:t>月，全市规模以上多式联运和运输代理业实现营业收入同比增长</w:t>
      </w:r>
      <w:r>
        <w:t>40.2%</w:t>
      </w:r>
      <w:r>
        <w:t>。</w:t>
      </w:r>
    </w:p>
    <w:p w:rsidR="00BE7622" w:rsidRDefault="00BE7622" w:rsidP="00BE7622">
      <w:pPr>
        <w:ind w:firstLineChars="200" w:firstLine="420"/>
        <w:jc w:val="right"/>
      </w:pPr>
      <w:r w:rsidRPr="00C24B74">
        <w:rPr>
          <w:rFonts w:hint="eastAsia"/>
        </w:rPr>
        <w:t>华龙网</w:t>
      </w:r>
      <w:r>
        <w:rPr>
          <w:rFonts w:hint="eastAsia"/>
        </w:rPr>
        <w:t>2022-1-19</w:t>
      </w:r>
    </w:p>
    <w:p w:rsidR="00BE7622" w:rsidRDefault="00BE7622" w:rsidP="00DC09BB">
      <w:pPr>
        <w:sectPr w:rsidR="00BE7622" w:rsidSect="00DC09BB">
          <w:type w:val="continuous"/>
          <w:pgSz w:w="11906" w:h="16838"/>
          <w:pgMar w:top="1644" w:right="1236" w:bottom="1418" w:left="1814" w:header="851" w:footer="907" w:gutter="0"/>
          <w:pgNumType w:start="1"/>
          <w:cols w:space="720"/>
          <w:docGrid w:type="lines" w:linePitch="341" w:charSpace="2373"/>
        </w:sectPr>
      </w:pPr>
    </w:p>
    <w:p w:rsidR="00EA10EC" w:rsidRDefault="00EA10EC"/>
    <w:sectPr w:rsidR="00EA10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7622"/>
    <w:rsid w:val="00BE7622"/>
    <w:rsid w:val="00EA10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76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76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1159</Characters>
  <Application>Microsoft Office Word</Application>
  <DocSecurity>0</DocSecurity>
  <Lines>9</Lines>
  <Paragraphs>2</Paragraphs>
  <ScaleCrop>false</ScaleCrop>
  <Company>微软中国</Company>
  <LinksUpToDate>false</LinksUpToDate>
  <CharactersWithSpaces>1360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2022-05-19T01:12:00Z</dcterms:created>
</cp:coreProperties>
</file>