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873" w:rsidRDefault="00D44873" w:rsidP="00B70700">
      <w:pPr>
        <w:pStyle w:val="1"/>
      </w:pPr>
      <w:r w:rsidRPr="00F35414">
        <w:t>2021年</w:t>
      </w:r>
      <w:r>
        <w:rPr>
          <w:rFonts w:hint="eastAsia"/>
        </w:rPr>
        <w:t>驻马店</w:t>
      </w:r>
      <w:r w:rsidRPr="00F35414">
        <w:t>市发展和改革工作综述</w:t>
      </w:r>
    </w:p>
    <w:p w:rsidR="00D44873" w:rsidRDefault="00D44873" w:rsidP="00D44873">
      <w:pPr>
        <w:ind w:firstLineChars="200" w:firstLine="420"/>
        <w:jc w:val="left"/>
      </w:pPr>
      <w:r w:rsidRPr="00F35414">
        <w:rPr>
          <w:rFonts w:hint="eastAsia"/>
        </w:rPr>
        <w:t>聚焦高质量</w:t>
      </w:r>
      <w:r w:rsidRPr="00F35414">
        <w:t xml:space="preserve"> </w:t>
      </w:r>
      <w:r w:rsidRPr="00F35414">
        <w:t>奋进谋新篇</w:t>
      </w:r>
      <w:r w:rsidRPr="00F35414">
        <w:t>——2021</w:t>
      </w:r>
      <w:r w:rsidRPr="00F35414">
        <w:t>年全市发展和改革工作综述</w:t>
      </w:r>
    </w:p>
    <w:p w:rsidR="00D44873" w:rsidRDefault="00D44873" w:rsidP="00D44873">
      <w:pPr>
        <w:ind w:firstLineChars="200" w:firstLine="420"/>
        <w:jc w:val="left"/>
      </w:pPr>
      <w:r>
        <w:t>2021</w:t>
      </w:r>
      <w:r>
        <w:t>年，全市发展和改革系统全面落实党中央国务院、省委省政府、市委市政府决策部署，统筹推进疫情防控、防汛救灾和经济社会发展，特别是滚动实施</w:t>
      </w:r>
      <w:r>
        <w:t>“</w:t>
      </w:r>
      <w:r>
        <w:t>三个一批</w:t>
      </w:r>
      <w:r>
        <w:t>”</w:t>
      </w:r>
      <w:r>
        <w:t>扩大增量，深入开展</w:t>
      </w:r>
      <w:r>
        <w:t>“</w:t>
      </w:r>
      <w:r>
        <w:t>万人助万企</w:t>
      </w:r>
      <w:r>
        <w:t>”</w:t>
      </w:r>
      <w:r>
        <w:t>活动盘活存量，抓好创新驱动发展激活变量，经济总体延续恢复态势，营商环境在全省排第七位，重点项目考评和争取专项债资金居全省第一方阵，高质量发展进入全省中游以上水平，承办了全国城市百人论坛、河南省淮河生态经济带建设第二次厅际联席会议，制定出台一批政策文件，争取到国家物流示范园等平台支持，较好完成了各项目标任务。</w:t>
      </w:r>
    </w:p>
    <w:p w:rsidR="00D44873" w:rsidRDefault="00D44873" w:rsidP="00D44873">
      <w:pPr>
        <w:ind w:firstLineChars="200" w:firstLine="420"/>
        <w:jc w:val="left"/>
      </w:pPr>
      <w:r>
        <w:t>全力优化营商环境</w:t>
      </w:r>
    </w:p>
    <w:p w:rsidR="00D44873" w:rsidRDefault="00D44873" w:rsidP="00D44873">
      <w:pPr>
        <w:ind w:firstLineChars="200" w:firstLine="420"/>
        <w:jc w:val="left"/>
      </w:pPr>
      <w:r>
        <w:t>市发改委在全省率先实行不动产登记</w:t>
      </w:r>
      <w:r>
        <w:t>“</w:t>
      </w:r>
      <w:r>
        <w:t>一窗受理</w:t>
      </w:r>
      <w:r>
        <w:t>”</w:t>
      </w:r>
      <w:r>
        <w:t>、率先打造政务服务事项</w:t>
      </w:r>
      <w:r>
        <w:t>“</w:t>
      </w:r>
      <w:r>
        <w:t>秒批</w:t>
      </w:r>
      <w:r>
        <w:t>”</w:t>
      </w:r>
      <w:r>
        <w:t>模式、率先启动</w:t>
      </w:r>
      <w:r>
        <w:t>“</w:t>
      </w:r>
      <w:r>
        <w:t>一证通办</w:t>
      </w:r>
      <w:r>
        <w:t>”</w:t>
      </w:r>
      <w:r>
        <w:t>工作、率先上线工程建设项目审批全流程可视化监管系统、率先建立知识产权质押融资风险补偿机制、率先出台《营商环境违法案件调查处理办法》，建立营商环境监测点</w:t>
      </w:r>
      <w:r>
        <w:t>141</w:t>
      </w:r>
      <w:r>
        <w:t>个，特邀监督员</w:t>
      </w:r>
      <w:r>
        <w:t>52</w:t>
      </w:r>
      <w:r>
        <w:t>名，全年受理营商环境违法案件</w:t>
      </w:r>
      <w:r>
        <w:t>12</w:t>
      </w:r>
      <w:r>
        <w:t>件。</w:t>
      </w:r>
    </w:p>
    <w:p w:rsidR="00D44873" w:rsidRDefault="00D44873" w:rsidP="00D44873">
      <w:pPr>
        <w:ind w:firstLineChars="200" w:firstLine="420"/>
        <w:jc w:val="left"/>
      </w:pPr>
      <w:r>
        <w:t>发挥高质量发展考核评价的</w:t>
      </w:r>
      <w:r>
        <w:t>“</w:t>
      </w:r>
      <w:r>
        <w:t>指挥棒</w:t>
      </w:r>
      <w:r>
        <w:t>”</w:t>
      </w:r>
      <w:r>
        <w:t>作用，市发改委加大与省对接协调力度，实行月调度，查找短板弱项，积极协调相关部门做好工作推进。坚持</w:t>
      </w:r>
      <w:r>
        <w:t>“</w:t>
      </w:r>
      <w:r>
        <w:t>项目为王</w:t>
      </w:r>
      <w:r>
        <w:t>”</w:t>
      </w:r>
      <w:r>
        <w:t>，以</w:t>
      </w:r>
      <w:r>
        <w:t>“</w:t>
      </w:r>
      <w:r>
        <w:t>三个一批</w:t>
      </w:r>
      <w:r>
        <w:t>”</w:t>
      </w:r>
      <w:r>
        <w:t>为总牵引，实行重点项目月通报、领导分包和分级分类管理等机制，每季度组织一次亿元以上项目集中开工活动，每半年组织一次重点项目观摩点评活动；实行重点项目周调度，分</w:t>
      </w:r>
      <w:r>
        <w:t>5</w:t>
      </w:r>
      <w:r>
        <w:t>批集中开工亿元以上重点项目</w:t>
      </w:r>
      <w:r>
        <w:t>802</w:t>
      </w:r>
      <w:r>
        <w:t>个，年度投资</w:t>
      </w:r>
      <w:r>
        <w:t>1955.7</w:t>
      </w:r>
      <w:r>
        <w:t>亿元；省重点项目完成投资</w:t>
      </w:r>
      <w:r>
        <w:t>1462.4</w:t>
      </w:r>
      <w:r>
        <w:t>亿元，占年度目标的</w:t>
      </w:r>
      <w:r>
        <w:t>148.6%</w:t>
      </w:r>
      <w:r>
        <w:t>，省下达</w:t>
      </w:r>
      <w:r>
        <w:t>228</w:t>
      </w:r>
      <w:r>
        <w:t>项联审联批任务全部完成，在全省月度项目考评中均居第一方</w:t>
      </w:r>
      <w:r>
        <w:rPr>
          <w:rFonts w:hint="eastAsia"/>
        </w:rPr>
        <w:t>阵。纳入省前两期“三个一批”活动项目</w:t>
      </w:r>
      <w:r>
        <w:t>186</w:t>
      </w:r>
      <w:r>
        <w:t>个，有效发挥稳经济</w:t>
      </w:r>
      <w:r>
        <w:t>“</w:t>
      </w:r>
      <w:r>
        <w:t>压舱石</w:t>
      </w:r>
      <w:r>
        <w:t>”</w:t>
      </w:r>
      <w:r>
        <w:t>的作用。</w:t>
      </w:r>
    </w:p>
    <w:p w:rsidR="00D44873" w:rsidRDefault="00D44873" w:rsidP="00D44873">
      <w:pPr>
        <w:ind w:firstLineChars="200" w:firstLine="420"/>
        <w:jc w:val="left"/>
      </w:pPr>
      <w:r>
        <w:t>不断蓄积发展势能</w:t>
      </w:r>
    </w:p>
    <w:p w:rsidR="00D44873" w:rsidRDefault="00D44873" w:rsidP="00D44873">
      <w:pPr>
        <w:ind w:firstLineChars="200" w:firstLine="420"/>
        <w:jc w:val="left"/>
      </w:pPr>
      <w:r>
        <w:t>市发改委编制印发《驻马店国民经济和社会发展第十四个五年规划和二〇三五年远景目标纲要》，牵头编制碳中和碳达峰、数字经济、未来产业、开发区等</w:t>
      </w:r>
      <w:r>
        <w:t>13</w:t>
      </w:r>
      <w:r>
        <w:t>个</w:t>
      </w:r>
      <w:r>
        <w:t>“</w:t>
      </w:r>
      <w:r>
        <w:t>十四五</w:t>
      </w:r>
      <w:r>
        <w:t>”</w:t>
      </w:r>
      <w:r>
        <w:t>专项规划，占全市专项规划的</w:t>
      </w:r>
      <w:r>
        <w:t>1/3</w:t>
      </w:r>
      <w:r>
        <w:t>，同步编制全市产业发展、宿鸭湖生态经济带专题规划，一批重大项目已进入省专项规划，为我市长远发展打好基础、指明方向。</w:t>
      </w:r>
    </w:p>
    <w:p w:rsidR="00D44873" w:rsidRDefault="00D44873" w:rsidP="00D44873">
      <w:pPr>
        <w:ind w:firstLineChars="200" w:firstLine="420"/>
        <w:jc w:val="left"/>
      </w:pPr>
      <w:r>
        <w:t>围绕打造区域中心城市、交通枢纽、物流枢纽和国际农都，市发改委起草加快大别山革命老区振兴发展、淮河生态经济带建设、灾后重建等实施方案，争取上级政策支持。争取恒兴国家级物流示范园区和</w:t>
      </w:r>
      <w:r>
        <w:t>10</w:t>
      </w:r>
      <w:r>
        <w:t>个省级企业技术中心、</w:t>
      </w:r>
      <w:r>
        <w:t>2</w:t>
      </w:r>
      <w:r>
        <w:t>个省级工程研究中心获批建设，成功创建</w:t>
      </w:r>
      <w:r>
        <w:t>2</w:t>
      </w:r>
      <w:r>
        <w:t>个国家农村产业融合发展示范园，争取国家革命老区转移支付资金</w:t>
      </w:r>
      <w:r>
        <w:t>1.67</w:t>
      </w:r>
      <w:r>
        <w:t>亿元。</w:t>
      </w:r>
    </w:p>
    <w:p w:rsidR="00D44873" w:rsidRDefault="00D44873" w:rsidP="00D44873">
      <w:pPr>
        <w:ind w:firstLineChars="200" w:firstLine="420"/>
        <w:jc w:val="left"/>
      </w:pPr>
      <w:r>
        <w:t>加快动能转换</w:t>
      </w:r>
    </w:p>
    <w:p w:rsidR="00D44873" w:rsidRDefault="00D44873" w:rsidP="00D44873">
      <w:pPr>
        <w:ind w:firstLineChars="200" w:firstLine="420"/>
        <w:jc w:val="left"/>
      </w:pPr>
      <w:r>
        <w:t>围绕</w:t>
      </w:r>
      <w:r>
        <w:t>12</w:t>
      </w:r>
      <w:r>
        <w:t>条重点产业链，市发改委制订《驻马店市产业链链长制工作方案》，推动传统产业转型升级、新兴产业重点培育、未来产业谋篇布局。出台新能源汽车等</w:t>
      </w:r>
      <w:r>
        <w:t>6</w:t>
      </w:r>
      <w:r>
        <w:t>个新兴产业链现代化提升方案，建立重点项目、重点企业、重点事项、重点园区</w:t>
      </w:r>
      <w:r>
        <w:t>“</w:t>
      </w:r>
      <w:r>
        <w:t>四个清单</w:t>
      </w:r>
      <w:r>
        <w:t>”</w:t>
      </w:r>
      <w:r>
        <w:t>，引导新兴产业做大做强。组织开展县域经济高质量发展创建，加大棚户区改造力度，争取上级对我市倾斜安排社会事业项目，一批卫生、教育、体育、社会服务项目加快推进。新建高标准农田</w:t>
      </w:r>
      <w:r>
        <w:t>107</w:t>
      </w:r>
      <w:r>
        <w:t>万亩，持续深化易地扶贫搬迁和消费扶贫，帮助</w:t>
      </w:r>
      <w:r>
        <w:t>150</w:t>
      </w:r>
      <w:r>
        <w:t>家采购商和</w:t>
      </w:r>
      <w:r>
        <w:t>246</w:t>
      </w:r>
      <w:r>
        <w:t>家生产供应商参加特色农产品推介。制订碳达峰</w:t>
      </w:r>
      <w:r>
        <w:rPr>
          <w:rFonts w:hint="eastAsia"/>
        </w:rPr>
        <w:t>、碳中和工作推进方案，提出加快构建碳达峰“</w:t>
      </w:r>
      <w:r>
        <w:t>1+10+7”</w:t>
      </w:r>
      <w:r>
        <w:t>政策体系，严格执行煤炭消费总量和强度</w:t>
      </w:r>
      <w:r>
        <w:t>“</w:t>
      </w:r>
      <w:r>
        <w:t>双控</w:t>
      </w:r>
      <w:r>
        <w:t>”</w:t>
      </w:r>
      <w:r>
        <w:t>，完成了省下达单位</w:t>
      </w:r>
      <w:r>
        <w:t>GDP</w:t>
      </w:r>
      <w:r>
        <w:t>能耗下降</w:t>
      </w:r>
      <w:r>
        <w:t>3.8%</w:t>
      </w:r>
      <w:r>
        <w:t>的目标。开工建设</w:t>
      </w:r>
      <w:r>
        <w:t>97</w:t>
      </w:r>
      <w:r>
        <w:t>个乡镇（街道）天然气中压管网，</w:t>
      </w:r>
      <w:r>
        <w:t>90</w:t>
      </w:r>
      <w:r>
        <w:t>个乡镇（街道）具备通气条件，</w:t>
      </w:r>
      <w:r>
        <w:t>74</w:t>
      </w:r>
      <w:r>
        <w:t>个乡镇（街道）已实现通气运行。扎实开展降低企业成本工作，全年共降低企业成本</w:t>
      </w:r>
      <w:r>
        <w:t>13.97</w:t>
      </w:r>
      <w:r>
        <w:t>亿元。</w:t>
      </w:r>
    </w:p>
    <w:p w:rsidR="00D44873" w:rsidRDefault="00D44873" w:rsidP="00D44873">
      <w:pPr>
        <w:ind w:firstLineChars="200" w:firstLine="420"/>
        <w:jc w:val="left"/>
      </w:pPr>
      <w:r>
        <w:t>增强发展动力活力</w:t>
      </w:r>
    </w:p>
    <w:p w:rsidR="00D44873" w:rsidRDefault="00D44873" w:rsidP="00D44873">
      <w:pPr>
        <w:ind w:firstLineChars="200" w:firstLine="420"/>
        <w:jc w:val="left"/>
      </w:pPr>
      <w:r>
        <w:t>市发改委制订《关于推进新发展格局下驻马店市县域经济高质量发展实施方案》，推动</w:t>
      </w:r>
      <w:r>
        <w:t>255</w:t>
      </w:r>
      <w:r>
        <w:t>项经济社会管理权限下放各县。扎实推进投资项目审批</w:t>
      </w:r>
      <w:r>
        <w:t>“</w:t>
      </w:r>
      <w:r>
        <w:t>三个一</w:t>
      </w:r>
      <w:r>
        <w:t>”</w:t>
      </w:r>
      <w:r>
        <w:t>改革，企业一般投资项目审批时限压减至</w:t>
      </w:r>
      <w:r>
        <w:t>90</w:t>
      </w:r>
      <w:r>
        <w:t>个工作日以内，具体项目办理时间压减至</w:t>
      </w:r>
      <w:r>
        <w:t>3</w:t>
      </w:r>
      <w:r>
        <w:t>个工作日以内，项目备案实现</w:t>
      </w:r>
      <w:r>
        <w:t>“</w:t>
      </w:r>
      <w:r>
        <w:t>零跑腿</w:t>
      </w:r>
      <w:r>
        <w:t>”</w:t>
      </w:r>
      <w:r>
        <w:t>。加强社会信用体系建设，归集共享各类信用数据达</w:t>
      </w:r>
      <w:r>
        <w:t>5.61</w:t>
      </w:r>
      <w:r>
        <w:t>亿条，</w:t>
      </w:r>
      <w:r>
        <w:t>“</w:t>
      </w:r>
      <w:r>
        <w:t>双公示</w:t>
      </w:r>
      <w:r>
        <w:t>”</w:t>
      </w:r>
      <w:r>
        <w:t>信息合格率</w:t>
      </w:r>
      <w:r>
        <w:t>100%</w:t>
      </w:r>
      <w:r>
        <w:t>；组织发布两批诚信建设</w:t>
      </w:r>
      <w:r>
        <w:t>“</w:t>
      </w:r>
      <w:r>
        <w:t>红黑榜</w:t>
      </w:r>
      <w:r>
        <w:t>”</w:t>
      </w:r>
      <w:r>
        <w:t>，涉及</w:t>
      </w:r>
      <w:r>
        <w:t>272</w:t>
      </w:r>
      <w:r>
        <w:t>家，实施联合惩戒核查</w:t>
      </w:r>
      <w:r>
        <w:t>50</w:t>
      </w:r>
      <w:r>
        <w:t>万次，引导失信主体及时修正自己的失信行为，审核修复失信记录</w:t>
      </w:r>
      <w:r>
        <w:t>2975</w:t>
      </w:r>
      <w:r>
        <w:t>次，有效规范了我市公共资源交易市</w:t>
      </w:r>
      <w:r>
        <w:rPr>
          <w:rFonts w:hint="eastAsia"/>
        </w:rPr>
        <w:t>场秩序。对全市招标投标平台功能进行优化，实现土地招拍挂、产权交易、建设工程招投标、政府采购四大类业务全流程电子化交易全覆盖。</w:t>
      </w:r>
    </w:p>
    <w:p w:rsidR="00D44873" w:rsidRDefault="00D44873" w:rsidP="00D44873">
      <w:pPr>
        <w:ind w:firstLineChars="200" w:firstLine="420"/>
        <w:jc w:val="left"/>
      </w:pPr>
      <w:r>
        <w:t>改善民生福祉</w:t>
      </w:r>
    </w:p>
    <w:p w:rsidR="00D44873" w:rsidRDefault="00D44873" w:rsidP="00D44873">
      <w:pPr>
        <w:ind w:firstLineChars="200" w:firstLine="420"/>
        <w:jc w:val="left"/>
      </w:pPr>
      <w:r>
        <w:t>围绕农林水利、交通基础设施、能源通信基础设施、防灾减灾能力提升等领域，市发改委谋划储备了一批灾后恢复重建、防灾减灾能力提升项目，特别是对列入省</w:t>
      </w:r>
      <w:r>
        <w:t>2021</w:t>
      </w:r>
      <w:r>
        <w:t>年底前计划开工灾后重建项目清单的</w:t>
      </w:r>
      <w:r>
        <w:t>108</w:t>
      </w:r>
      <w:r>
        <w:t>个重建项目实行项目开工周报制度，全力以赴加大项目推进力度。建立全市电厂日监测、日报告制度，每天上报日发电情况、用电情况和煤炭库存情况，按照有保有限、确保重点的原则，优先保障好居民、重点领域用电。全市价格认定综合业务平台应用实现全覆盖，共办理各类价格认定案件</w:t>
      </w:r>
      <w:r>
        <w:t>1352</w:t>
      </w:r>
      <w:r>
        <w:t>件，标的金额</w:t>
      </w:r>
      <w:r>
        <w:t>7162.53</w:t>
      </w:r>
      <w:r>
        <w:t>万元。开展洪涝灾害对我市农业生</w:t>
      </w:r>
      <w:r>
        <w:rPr>
          <w:rFonts w:hint="eastAsia"/>
        </w:rPr>
        <w:t>产成本及收益影响的调查、粮食生产成本专项调查、中心城区义务教育阶段延时服务收费和我市线下学科类培训收费的成本调查，完成了污水处理厂、停车场、学校、板桥水库、医院、白云纸业等</w:t>
      </w:r>
      <w:r>
        <w:t>37</w:t>
      </w:r>
      <w:r>
        <w:t>个单位申报的成本监审项目，核减成本</w:t>
      </w:r>
      <w:r>
        <w:t>4.06</w:t>
      </w:r>
      <w:r>
        <w:t>亿元。</w:t>
      </w:r>
    </w:p>
    <w:p w:rsidR="00D44873" w:rsidRPr="00F35414" w:rsidRDefault="00D44873" w:rsidP="00D44873">
      <w:pPr>
        <w:ind w:firstLineChars="200" w:firstLine="420"/>
        <w:jc w:val="right"/>
      </w:pPr>
      <w:r>
        <w:rPr>
          <w:rFonts w:hint="eastAsia"/>
        </w:rPr>
        <w:t>驻马店市</w:t>
      </w:r>
      <w:r w:rsidRPr="00F35414">
        <w:rPr>
          <w:rFonts w:hint="eastAsia"/>
        </w:rPr>
        <w:t>发改委办公室</w:t>
      </w:r>
      <w:r>
        <w:t>2022-</w:t>
      </w:r>
      <w:r w:rsidRPr="00F35414">
        <w:t>1-26</w:t>
      </w:r>
    </w:p>
    <w:p w:rsidR="00D44873" w:rsidRDefault="00D44873" w:rsidP="00F47FB1">
      <w:pPr>
        <w:sectPr w:rsidR="00D44873" w:rsidSect="00F47FB1">
          <w:type w:val="continuous"/>
          <w:pgSz w:w="11906" w:h="16838"/>
          <w:pgMar w:top="1644" w:right="1236" w:bottom="1418" w:left="1814" w:header="851" w:footer="907" w:gutter="0"/>
          <w:pgNumType w:start="1"/>
          <w:cols w:space="720"/>
          <w:docGrid w:type="lines" w:linePitch="341" w:charSpace="2373"/>
        </w:sectPr>
      </w:pPr>
    </w:p>
    <w:p w:rsidR="00F57834" w:rsidRDefault="00F57834"/>
    <w:sectPr w:rsidR="00F578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4873"/>
    <w:rsid w:val="00D44873"/>
    <w:rsid w:val="00F578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48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48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1884</Characters>
  <Application>Microsoft Office Word</Application>
  <DocSecurity>0</DocSecurity>
  <Lines>15</Lines>
  <Paragraphs>4</Paragraphs>
  <ScaleCrop>false</ScaleCrop>
  <Company>微软中国</Company>
  <LinksUpToDate>false</LinksUpToDate>
  <CharactersWithSpaces>2210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2022-05-19T01:25:00Z</dcterms:created>
</cp:coreProperties>
</file>