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A75" w:rsidRDefault="00E85A75" w:rsidP="00403DE8">
      <w:pPr>
        <w:pStyle w:val="1"/>
        <w:rPr>
          <w:rFonts w:hint="eastAsia"/>
        </w:rPr>
      </w:pPr>
      <w:r w:rsidRPr="00403DE8">
        <w:rPr>
          <w:rFonts w:hint="eastAsia"/>
        </w:rPr>
        <w:t>聊城：深化改革，拓展动能转换新空间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站在历史和未来的交汇处，站在发展的新潮头，面对复杂的新形势，如何迎接新旧动能转换的挑战，做创新发展的先行者</w:t>
      </w:r>
      <w:r>
        <w:t>?</w:t>
      </w:r>
      <w:r>
        <w:t>答案显而易见</w:t>
      </w:r>
      <w:r>
        <w:t>——</w:t>
      </w:r>
      <w:r>
        <w:t>改革发展中遇到的问题，必须靠进一步改革的办法解决。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深化改革是新旧动能转换的活力源泉。聊城经济迈向高质量发展的转型早已起势，壮阔的改革创新之潮正汹涌澎湃。逢山开路，遇水架桥，聊城全面深化改革的步履坚定，为动能转换不断破除体制机制障碍、激发动力活力</w:t>
      </w:r>
      <w:r>
        <w:t>!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深化改革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激发动能转换活力</w:t>
      </w:r>
    </w:p>
    <w:p w:rsidR="00E85A75" w:rsidRDefault="00E85A75" w:rsidP="00E85A75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5"/>
          <w:attr w:name="Day" w:val="19"/>
          <w:attr w:name="IsLunarDate" w:val="False"/>
          <w:attr w:name="IsROCDate" w:val="False"/>
        </w:smartTagPr>
        <w:r>
          <w:t>5</w:t>
        </w:r>
        <w:r>
          <w:t>月</w:t>
        </w:r>
        <w:r>
          <w:t>19</w:t>
        </w:r>
        <w:r>
          <w:t>日</w:t>
        </w:r>
      </w:smartTag>
      <w:r>
        <w:t>，冠县朝阳制粉有限公司总经理许明才走出东昌宾馆会场，激动的心情溢于言表：</w:t>
      </w:r>
      <w:r>
        <w:t>“</w:t>
      </w:r>
      <w:r>
        <w:t>多亏了企业工作日制度，让我能直接与领导见面沟通、解决问题</w:t>
      </w:r>
      <w:r>
        <w:t>!”</w:t>
      </w:r>
      <w:r>
        <w:t>在座谈会现场，许明才提出了困扰企业的土地问题，得到了满意的答复。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“放管服”改革是关系地方发展活力的大问题。聊城市持续推进“放管服”改革，推进治理体系和治理能力现代化，制定了企业工作日、金融工作日、群众工作日“三个工作日”制度，为企业、群众解决了大量难题。今年以来，聊城市削减市级行政审批事项</w:t>
      </w:r>
      <w:r>
        <w:t>82</w:t>
      </w:r>
      <w:r>
        <w:t>项，整合减少行政权力事项</w:t>
      </w:r>
      <w:r>
        <w:t>12</w:t>
      </w:r>
      <w:r>
        <w:t>项，明确由市县实施的事项</w:t>
      </w:r>
      <w:r>
        <w:t>862</w:t>
      </w:r>
      <w:r>
        <w:t>项。强化监管精准施策，在全省率先制定《聊城市实施</w:t>
      </w:r>
      <w:r>
        <w:t>“</w:t>
      </w:r>
      <w:r>
        <w:t>双随机</w:t>
      </w:r>
      <w:r>
        <w:t>”</w:t>
      </w:r>
      <w:r>
        <w:t>抽查规范事中事后监管工作方案》，建立了市场主体名录库、检查人员名录库、抽查事项清单。同时，进一步优化审批流程，完善政务服务网上平台建设，推行了</w:t>
      </w:r>
      <w:r>
        <w:t>24</w:t>
      </w:r>
      <w:r>
        <w:t>项服务</w:t>
      </w:r>
      <w:r>
        <w:t>“</w:t>
      </w:r>
      <w:r>
        <w:t>菜单</w:t>
      </w:r>
      <w:r>
        <w:t>”</w:t>
      </w:r>
      <w:r>
        <w:t>，审批</w:t>
      </w:r>
      <w:r>
        <w:rPr>
          <w:rFonts w:hint="eastAsia"/>
        </w:rPr>
        <w:t>效率提高了三分之一。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金融是实体经济的血脉。去年以来，借助投贷联动、股权引导投资基金、绿色发展基金、公司债券等创新手段，聊城市不断深化金融业供给侧改革。聊城市实现新型农村合作金融试点全覆盖，创新推出了国内首支市级股权质押增信基金、省内第三支市级直投基金，成立市财金公司、土地储备集团两大融资平台，组建了注册资本</w:t>
      </w:r>
      <w:r>
        <w:t>10.2</w:t>
      </w:r>
      <w:r>
        <w:t>亿元的市级大型担保公司，资本规模位居全省前列</w:t>
      </w:r>
      <w:r>
        <w:t>;</w:t>
      </w:r>
      <w:r>
        <w:t>新增</w:t>
      </w:r>
      <w:r>
        <w:t>“</w:t>
      </w:r>
      <w:r>
        <w:t>新三板</w:t>
      </w:r>
      <w:r>
        <w:t>”</w:t>
      </w:r>
      <w:r>
        <w:t>挂牌企业</w:t>
      </w:r>
      <w:r>
        <w:t>6</w:t>
      </w:r>
      <w:r>
        <w:t>家，直接融资发生额</w:t>
      </w:r>
      <w:r>
        <w:t>184</w:t>
      </w:r>
      <w:r>
        <w:t>亿元</w:t>
      </w:r>
      <w:r>
        <w:t>;</w:t>
      </w:r>
      <w:r>
        <w:t>完成规范化企业改制</w:t>
      </w:r>
      <w:r>
        <w:t>245</w:t>
      </w:r>
      <w:r>
        <w:t>家。深化投融资体制改革，落实支持民间投资措施，今年第一季度，全市民间投资增长</w:t>
      </w:r>
      <w:r>
        <w:t>3.9%</w:t>
      </w:r>
      <w:r>
        <w:t>，高于全</w:t>
      </w:r>
      <w:r>
        <w:rPr>
          <w:rFonts w:hint="eastAsia"/>
        </w:rPr>
        <w:t>省</w:t>
      </w:r>
      <w:r>
        <w:t>2.8</w:t>
      </w:r>
      <w:r>
        <w:t>个百分点，占全部投资比重的</w:t>
      </w:r>
      <w:r>
        <w:t>75.3%</w:t>
      </w:r>
      <w:r>
        <w:t>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体制机制的优化，让企业更有发展的底气。聊城市全面实施市场准入负面清单制度，全面展开“最多跑一次”改革，推行“互联网</w:t>
      </w:r>
      <w:r>
        <w:t>+</w:t>
      </w:r>
      <w:r>
        <w:t>政务服务</w:t>
      </w:r>
      <w:r>
        <w:t>”</w:t>
      </w:r>
      <w:r>
        <w:t>，推出</w:t>
      </w:r>
      <w:r>
        <w:t>“</w:t>
      </w:r>
      <w:r>
        <w:t>最多跑一次</w:t>
      </w:r>
      <w:r>
        <w:t>”</w:t>
      </w:r>
      <w:r>
        <w:t>服务事项</w:t>
      </w:r>
      <w:r>
        <w:t>1746</w:t>
      </w:r>
      <w:r>
        <w:t>项。加大商事制度改革力度，深化</w:t>
      </w:r>
      <w:r>
        <w:t>“</w:t>
      </w:r>
      <w:r>
        <w:t>先照后证</w:t>
      </w:r>
      <w:r>
        <w:t>”</w:t>
      </w:r>
      <w:r>
        <w:t>改革，不断扩大</w:t>
      </w:r>
      <w:r>
        <w:t>“</w:t>
      </w:r>
      <w:r>
        <w:t>多证合一</w:t>
      </w:r>
      <w:r>
        <w:t>”</w:t>
      </w:r>
      <w:r>
        <w:t>覆盖范围。对企业事中事后事项实施精准监管，加强公共资源交易综合监管，实现市县两级电子交易系统对接，加快完善市公共信用信息平台，让动能转换活力在全市不断涌流。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创新驱动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跑出动能转换“加速度”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创新是引领发展的第一动力，是建设现代化经济体系的战略支撑，改革则是创新必不可少的点火器。要为高质量发展提供强有力的创新支撑，必须以改革为创新开路，用改革集聚创新要素，才能跑出创新的“加速度”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茌平县博智文具有限公司每月更新产品</w:t>
      </w:r>
      <w:r>
        <w:t>20</w:t>
      </w:r>
      <w:r>
        <w:t>余个，用</w:t>
      </w:r>
      <w:r>
        <w:t>4</w:t>
      </w:r>
      <w:r>
        <w:t>年时间从小作坊发展为年产值</w:t>
      </w:r>
      <w:r>
        <w:t>3</w:t>
      </w:r>
      <w:r>
        <w:t>亿元的行业龙头，总经理贾洪波每年超过</w:t>
      </w:r>
      <w:r>
        <w:t>300</w:t>
      </w:r>
      <w:r>
        <w:t>天都在浙江、广东等地跑市场。他告诉记者：</w:t>
      </w:r>
      <w:r>
        <w:t>“‘</w:t>
      </w:r>
      <w:r>
        <w:t>跑市场</w:t>
      </w:r>
      <w:r>
        <w:t>’</w:t>
      </w:r>
      <w:r>
        <w:t>是为了跑在市场前面。公司靠技术革新、样式更新、材料换新，才发展成文具市场的</w:t>
      </w:r>
      <w:r>
        <w:t>‘</w:t>
      </w:r>
      <w:r>
        <w:t>领头羊</w:t>
      </w:r>
      <w:r>
        <w:t>’</w:t>
      </w:r>
      <w:r>
        <w:t>。下一步，我们将坚持模式新型化和品牌高端化，实现高质量发展。</w:t>
      </w:r>
      <w:r>
        <w:t>”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是什么支撑着像博智文具这样的本地企业不断创新</w:t>
      </w:r>
      <w:r>
        <w:t>?“</w:t>
      </w:r>
      <w:r>
        <w:t>不断优化的创新条件</w:t>
      </w:r>
      <w:r>
        <w:t>”——</w:t>
      </w:r>
      <w:r>
        <w:t>贾洪波的答案道出了关键原因。聊城市坚持把创新作为动能转换的第一动力，以创新型城市建设为统领，不断优化创新体制机制，形成推动经济发展方式转变和经济结构调整的强大动力。一方面，税收优惠、人才新政、打通产学研链条等政策供给，为企业创新提供了相对宽松的环境</w:t>
      </w:r>
      <w:r>
        <w:t>;</w:t>
      </w:r>
      <w:r>
        <w:t>另一方面，城市软环境的</w:t>
      </w:r>
      <w:r>
        <w:t xml:space="preserve"> </w:t>
      </w:r>
      <w:r>
        <w:t>综合提升，有力促进了企业</w:t>
      </w:r>
      <w:r>
        <w:t>“</w:t>
      </w:r>
      <w:r>
        <w:t>创新矩阵</w:t>
      </w:r>
      <w:r>
        <w:t>”</w:t>
      </w:r>
      <w:r>
        <w:t>的形成。</w:t>
      </w:r>
      <w:r>
        <w:t>2017</w:t>
      </w:r>
      <w:r>
        <w:t>年，聊城市共有国家级企业技术中心</w:t>
      </w:r>
      <w:r>
        <w:t>9</w:t>
      </w:r>
      <w:r>
        <w:t>家，国地联合工程实验室</w:t>
      </w:r>
      <w:r>
        <w:t>3</w:t>
      </w:r>
      <w:r>
        <w:t>家，省级工程实验室</w:t>
      </w:r>
      <w:r>
        <w:t>18</w:t>
      </w:r>
      <w:r>
        <w:t>家，设立了</w:t>
      </w:r>
      <w:r>
        <w:t>1</w:t>
      </w:r>
      <w:r>
        <w:t>亿元的人才创新发展基金</w:t>
      </w:r>
      <w:r>
        <w:rPr>
          <w:rFonts w:hint="eastAsia"/>
        </w:rPr>
        <w:t>，引进外国专家</w:t>
      </w:r>
      <w:r>
        <w:t>104</w:t>
      </w:r>
      <w:r>
        <w:t>人、国内高层次人才</w:t>
      </w:r>
      <w:r>
        <w:t>40</w:t>
      </w:r>
      <w:r>
        <w:t>人、泰山产业领军人才</w:t>
      </w:r>
      <w:r>
        <w:t>5</w:t>
      </w:r>
      <w:r>
        <w:t>人。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在水城大地，新业态新模式加快涌现。基于物联网、云计算、大数据等新技术的应用和创新日益活跃，信息技术服务快速发展，生态旅游、休闲养老、远程医疗、远程教育、数字家庭、智慧社区、智慧城市不再是陌生的概念。鲁西集团利用新一代信息技术，建成智慧化工园区管理平台。茌平县无车承运人模式，整合运输车辆</w:t>
      </w:r>
      <w:r>
        <w:t>10000</w:t>
      </w:r>
      <w:r>
        <w:t>多台，降低综合运输成本近</w:t>
      </w:r>
      <w:r>
        <w:t>30%</w:t>
      </w:r>
      <w:r>
        <w:t>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唯改革者进，唯创新者强，唯改革创新者胜。越来越严格的知识产权保护制度，让企业创新有了法治保障</w:t>
      </w:r>
      <w:r>
        <w:t>;</w:t>
      </w:r>
      <w:r>
        <w:t>不断加大的营商环境改革力度，让企业安心做优做强</w:t>
      </w:r>
      <w:r>
        <w:t>;</w:t>
      </w:r>
      <w:r>
        <w:t>不断补齐生态环境、原创性基础研究平台等短板，企业更愿意留下来抱团创新</w:t>
      </w:r>
      <w:r>
        <w:t>……</w:t>
      </w:r>
      <w:r>
        <w:t>下一步，聊城市将持续聚力搭建科技创新平台、促进科技成果转化、优化创新创业环境，让创新之花开遍水城大地。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以改促干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确保改革举措落地见效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改革争在朝夕，落实难在方寸。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省、市动能转换动员大会召开以来，聊城市进一步用改革的方法将改革措施压实，以动真碰硬的勇气、壮士断腕的决心勇往直前，将改革进行到底。通过健全机制、完善制度、强化督察，着力破除体制机制障碍，确保改革举措落地落实。鼓励基层探索创新，搞好改革试点，培育、总结、推广经验典型，向重点领域和关键环节聚力，让改革对经济社会的牵引作用得到充分发挥。“目前，全市全面深化改革工作呈现出全面发力、纵深推进的生动局面。”市委改革办相关负责人表示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改革要落实落地，还必须要以强有力督察形成倒逼压力。聊城市发挥改革督察“利剑”作用，进一步完善督察制度，仿照省委改革办做法，制定改革督察工作计划，年底前全部结项，形成督察报告。在执行《聊城市各责任主体责任清单》的基础上，制发《关于进一步加大督察力度狠抓改革落实的通知》《关于进一步加强专项小组改革督察工作的通知》，对主要负责同志亲力亲为抓督察、专项小组改革督察职能等提出了明确具体的要求。</w:t>
      </w:r>
    </w:p>
    <w:p w:rsidR="00E85A75" w:rsidRDefault="00E85A75" w:rsidP="00E85A75">
      <w:pPr>
        <w:ind w:firstLineChars="200" w:firstLine="420"/>
      </w:pPr>
      <w:r>
        <w:rPr>
          <w:rFonts w:hint="eastAsia"/>
        </w:rPr>
        <w:t>推进改革责任向各级传递、向基层延伸，考核是“指挥棒”。聊城市围绕重点领域、关键环节、重点任务开展专题督察，及时开展全面督察。在重点工作督察的基础上，每季度对全市全面深化改革情况进行全面督察。对任务台账、重点事项，通过电话调度、书面调度、会议调度、微信调度等方式实现全过程跟踪督察，及时挂账销号、建档立卷。</w:t>
      </w:r>
    </w:p>
    <w:p w:rsidR="00E85A75" w:rsidRDefault="00E85A75" w:rsidP="00E85A75">
      <w:pPr>
        <w:ind w:firstLineChars="200" w:firstLine="420"/>
        <w:rPr>
          <w:rFonts w:hint="eastAsia"/>
        </w:rPr>
      </w:pPr>
      <w:r>
        <w:rPr>
          <w:rFonts w:hint="eastAsia"/>
        </w:rPr>
        <w:t>征程万里风正劲，迎难而上再奋蹄。全面深化改革的主体框架基本确立，改革的脉络愈加清晰，聊城向着高质量发展目标破浪前行的澎湃动力必将源源不竭</w:t>
      </w:r>
      <w:r>
        <w:t>!</w:t>
      </w:r>
    </w:p>
    <w:p w:rsidR="00E85A75" w:rsidRDefault="00E85A75" w:rsidP="00403DE8">
      <w:pPr>
        <w:jc w:val="right"/>
        <w:rPr>
          <w:rFonts w:hint="eastAsia"/>
        </w:rPr>
      </w:pPr>
      <w:r w:rsidRPr="00403DE8">
        <w:rPr>
          <w:rFonts w:hint="eastAsia"/>
        </w:rPr>
        <w:t>珠三角互通网</w:t>
      </w:r>
      <w:smartTag w:uri="urn:schemas-microsoft-com:office:smarttags" w:element="chsdate">
        <w:smartTagPr>
          <w:attr w:name="Year" w:val="2018"/>
          <w:attr w:name="Month" w:val="6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2018-6-20</w:t>
        </w:r>
      </w:smartTag>
    </w:p>
    <w:p w:rsidR="00E85A75" w:rsidRDefault="00E85A75" w:rsidP="0029489B">
      <w:pPr>
        <w:sectPr w:rsidR="00E85A75" w:rsidSect="002948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87D80" w:rsidRDefault="00787D80"/>
    <w:sectPr w:rsidR="00787D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5A75"/>
    <w:rsid w:val="00787D80"/>
    <w:rsid w:val="00E85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85A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85A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85A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2240</Characters>
  <Application>Microsoft Office Word</Application>
  <DocSecurity>0</DocSecurity>
  <Lines>18</Lines>
  <Paragraphs>5</Paragraphs>
  <ScaleCrop>false</ScaleCrop>
  <Company>Win10NeT.COM</Company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2022-07-15T09:21:00Z</dcterms:created>
</cp:coreProperties>
</file>