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5DB7" w:rsidRDefault="00DE5DB7" w:rsidP="00D5180D">
      <w:pPr>
        <w:pStyle w:val="1"/>
        <w:rPr>
          <w:rFonts w:hint="eastAsia"/>
        </w:rPr>
      </w:pPr>
      <w:r w:rsidRPr="007B5084">
        <w:rPr>
          <w:rFonts w:hint="eastAsia"/>
        </w:rPr>
        <w:t>南沙实施“交地即开工”</w:t>
      </w:r>
      <w:r w:rsidRPr="007B5084">
        <w:t>3.0版改革 推出多项优化工程建设审批改革举措</w:t>
      </w:r>
    </w:p>
    <w:p w:rsidR="00DE5DB7" w:rsidRDefault="00DE5DB7" w:rsidP="00DE5DB7">
      <w:pPr>
        <w:spacing w:line="242" w:lineRule="auto"/>
        <w:ind w:firstLineChars="200" w:firstLine="420"/>
      </w:pPr>
      <w:r>
        <w:rPr>
          <w:rFonts w:hint="eastAsia"/>
        </w:rPr>
        <w:t>南沙工程建设项目“交地即开工”改革进一步优化！</w:t>
      </w:r>
      <w:r>
        <w:t>9</w:t>
      </w:r>
      <w:r>
        <w:t>月</w:t>
      </w:r>
      <w:r>
        <w:t>9</w:t>
      </w:r>
      <w:r>
        <w:t>日，南沙召开新闻发布会，对外发布了《南沙开发区（自贸区南沙片区）工程建设项目</w:t>
      </w:r>
      <w:r>
        <w:t>“</w:t>
      </w:r>
      <w:r>
        <w:t>交地即开工</w:t>
      </w:r>
      <w:r>
        <w:t>”(3.0)</w:t>
      </w:r>
      <w:r>
        <w:t>实施方案》，标志着南沙工程建设项目审批改革</w:t>
      </w:r>
      <w:r>
        <w:t>“</w:t>
      </w:r>
      <w:r>
        <w:t>交地即开工</w:t>
      </w:r>
      <w:r>
        <w:t>”</w:t>
      </w:r>
      <w:r>
        <w:t>进入了</w:t>
      </w:r>
      <w:r>
        <w:t>3.0</w:t>
      </w:r>
      <w:r>
        <w:t>版模式。记者了解到，</w:t>
      </w:r>
      <w:r>
        <w:t>“</w:t>
      </w:r>
      <w:r>
        <w:t>交地即开工</w:t>
      </w:r>
      <w:r>
        <w:t>”3.0</w:t>
      </w:r>
      <w:r>
        <w:t>版模式是南沙在全国率先实现</w:t>
      </w:r>
      <w:r>
        <w:t>“</w:t>
      </w:r>
      <w:r>
        <w:t>交地即开工</w:t>
      </w:r>
      <w:r>
        <w:t>”</w:t>
      </w:r>
      <w:r>
        <w:t>的基础上，优化南沙工程建设审批改革举措，实施单独发包基坑支护和土方开挖工程、</w:t>
      </w:r>
      <w:r>
        <w:t>“</w:t>
      </w:r>
      <w:r>
        <w:t>先建后验</w:t>
      </w:r>
      <w:r>
        <w:t>”</w:t>
      </w:r>
      <w:r>
        <w:t>审批新模式、免于施工图审查等改革措施，全面深化升级</w:t>
      </w:r>
      <w:r>
        <w:t>“</w:t>
      </w:r>
      <w:r>
        <w:t>交地即开工</w:t>
      </w:r>
      <w:r>
        <w:t>”</w:t>
      </w:r>
      <w:r>
        <w:t>模式，进一步为企业节约时间和精力。</w:t>
      </w:r>
    </w:p>
    <w:p w:rsidR="00DE5DB7" w:rsidRDefault="00DE5DB7" w:rsidP="00DE5DB7">
      <w:pPr>
        <w:spacing w:line="242" w:lineRule="auto"/>
        <w:ind w:firstLineChars="200" w:firstLine="420"/>
      </w:pPr>
      <w:r>
        <w:rPr>
          <w:rFonts w:hint="eastAsia"/>
        </w:rPr>
        <w:t>新措施节约至少</w:t>
      </w:r>
      <w:r>
        <w:t>3</w:t>
      </w:r>
      <w:r>
        <w:t>个月时间成本</w:t>
      </w:r>
    </w:p>
    <w:p w:rsidR="00DE5DB7" w:rsidRDefault="00DE5DB7" w:rsidP="00DE5DB7">
      <w:pPr>
        <w:spacing w:line="242" w:lineRule="auto"/>
        <w:ind w:firstLineChars="200" w:firstLine="420"/>
      </w:pPr>
      <w:r>
        <w:rPr>
          <w:rFonts w:hint="eastAsia"/>
        </w:rPr>
        <w:t>在发布会上，北大荒（大湾区）生态产业城项目获得了“交地即开工”许可。“我们这次申请的是基坑支护和土方开挖施工许可证，建设规模</w:t>
      </w:r>
      <w:r>
        <w:t>35926</w:t>
      </w:r>
      <w:r>
        <w:t>平方米，造价</w:t>
      </w:r>
      <w:r>
        <w:t>210</w:t>
      </w:r>
      <w:r>
        <w:t>万元，只花了几天时间就拿到了许可证。</w:t>
      </w:r>
      <w:r>
        <w:t>”</w:t>
      </w:r>
      <w:r>
        <w:t>北大荒中垦（广东）食品科技有限公司董事长罗永根告诉记者，他觉得实施单独开展基坑支护和土方开挖工程发包模式这个措施是此次改革的最大亮点。对于建设企业而言，有利于企业在施工总包单位尚未确定的情况下，即可先行开展土方开挖和基坑支护工程，从以前的带方案出让项目</w:t>
      </w:r>
      <w:r>
        <w:t>“</w:t>
      </w:r>
      <w:r>
        <w:t>交地即开工</w:t>
      </w:r>
      <w:r>
        <w:t>”</w:t>
      </w:r>
      <w:r>
        <w:t>到现在全面实现了</w:t>
      </w:r>
      <w:r>
        <w:t>“</w:t>
      </w:r>
      <w:r>
        <w:t>交地即开工</w:t>
      </w:r>
      <w:r>
        <w:t>”</w:t>
      </w:r>
      <w:r>
        <w:t>，也真正缩短了企业的时间成</w:t>
      </w:r>
      <w:r>
        <w:rPr>
          <w:rFonts w:hint="eastAsia"/>
        </w:rPr>
        <w:t>本。“通过实施‘交地即开工’</w:t>
      </w:r>
      <w:r>
        <w:t>3.0</w:t>
      </w:r>
      <w:r>
        <w:t>版改革，预计能为我们这个建设项目节约</w:t>
      </w:r>
      <w:r>
        <w:t>3</w:t>
      </w:r>
      <w:r>
        <w:t>个月的时间成本，节约经济成本约</w:t>
      </w:r>
      <w:r>
        <w:t>1000</w:t>
      </w:r>
      <w:r>
        <w:t>万元。</w:t>
      </w:r>
      <w:r>
        <w:t>”</w:t>
      </w:r>
      <w:r>
        <w:t>广州葛城实业有限公司总经理汤仙表示，交地即开工</w:t>
      </w:r>
      <w:r>
        <w:t>3.0</w:t>
      </w:r>
      <w:r>
        <w:t>版的发布，对于该公司承建的位于南沙新区明珠湾起步区横沥岛尖的</w:t>
      </w:r>
      <w:r>
        <w:t>IFF</w:t>
      </w:r>
      <w:r>
        <w:t>国际金融中心永久会址，即节约了时间，又节省成本。</w:t>
      </w:r>
    </w:p>
    <w:p w:rsidR="00DE5DB7" w:rsidRDefault="00DE5DB7" w:rsidP="00DE5DB7">
      <w:pPr>
        <w:spacing w:line="242" w:lineRule="auto"/>
        <w:ind w:firstLineChars="200" w:firstLine="420"/>
      </w:pPr>
      <w:r>
        <w:rPr>
          <w:rFonts w:hint="eastAsia"/>
        </w:rPr>
        <w:t>南沙区政务服务数据管理局（行政审批局）副局长赵特立表示，本次“交地即开工”</w:t>
      </w:r>
      <w:r>
        <w:t>3.0</w:t>
      </w:r>
      <w:r>
        <w:t>版改革共推出了</w:t>
      </w:r>
      <w:r>
        <w:t>“</w:t>
      </w:r>
      <w:r>
        <w:t>四实施</w:t>
      </w:r>
      <w:r>
        <w:t>”</w:t>
      </w:r>
      <w:r>
        <w:t>、</w:t>
      </w:r>
      <w:r>
        <w:t>“</w:t>
      </w:r>
      <w:r>
        <w:t>三优化</w:t>
      </w:r>
      <w:r>
        <w:t>”</w:t>
      </w:r>
      <w:r>
        <w:t>、</w:t>
      </w:r>
      <w:r>
        <w:t>“</w:t>
      </w:r>
      <w:r>
        <w:t>二扩大</w:t>
      </w:r>
      <w:r>
        <w:t>”</w:t>
      </w:r>
      <w:r>
        <w:t>、</w:t>
      </w:r>
      <w:r>
        <w:t>“</w:t>
      </w:r>
      <w:r>
        <w:t>一精简</w:t>
      </w:r>
      <w:r>
        <w:t>”</w:t>
      </w:r>
      <w:r>
        <w:t>等多项改革举措，全面提升审批服务效能，持续释放改革红利。</w:t>
      </w:r>
    </w:p>
    <w:p w:rsidR="00DE5DB7" w:rsidRDefault="00DE5DB7" w:rsidP="00DE5DB7">
      <w:pPr>
        <w:spacing w:line="242" w:lineRule="auto"/>
        <w:ind w:firstLineChars="200" w:firstLine="420"/>
      </w:pPr>
      <w:r>
        <w:rPr>
          <w:rFonts w:hint="eastAsia"/>
        </w:rPr>
        <w:t>其中，单独发包基坑支护和土方开挖工程改革措施允许建设单位在未确定总包的情况下，可根据项目实际情况，自行选择单独开展“基坑支护和土方开挖”工程发包，项目施工总承包单位确定后，“基坑支护和土方开挖”工程纳入项目施工总承包单位统一管理，为企业节省了至少</w:t>
      </w:r>
      <w:r>
        <w:t>3</w:t>
      </w:r>
      <w:r>
        <w:t>个月的确定总包单位的等待时间，进一步深化了</w:t>
      </w:r>
      <w:r>
        <w:t>“</w:t>
      </w:r>
      <w:r>
        <w:t>交地即开工</w:t>
      </w:r>
      <w:r>
        <w:t>”</w:t>
      </w:r>
      <w:r>
        <w:t>。</w:t>
      </w:r>
    </w:p>
    <w:p w:rsidR="00DE5DB7" w:rsidRDefault="00DE5DB7" w:rsidP="00DE5DB7">
      <w:pPr>
        <w:spacing w:line="242" w:lineRule="auto"/>
        <w:ind w:firstLineChars="200" w:firstLine="420"/>
      </w:pPr>
      <w:r>
        <w:rPr>
          <w:rFonts w:hint="eastAsia"/>
        </w:rPr>
        <w:t>实施“先建后验”审批新模式</w:t>
      </w:r>
    </w:p>
    <w:p w:rsidR="00DE5DB7" w:rsidRDefault="00DE5DB7" w:rsidP="00DE5DB7">
      <w:pPr>
        <w:spacing w:line="242" w:lineRule="auto"/>
        <w:ind w:firstLineChars="200" w:firstLine="420"/>
      </w:pPr>
      <w:r>
        <w:rPr>
          <w:rFonts w:hint="eastAsia"/>
        </w:rPr>
        <w:t>同时，“交地即开工”</w:t>
      </w:r>
      <w:r>
        <w:t>3.0</w:t>
      </w:r>
      <w:r>
        <w:t>版本实施</w:t>
      </w:r>
      <w:r>
        <w:t>“</w:t>
      </w:r>
      <w:r>
        <w:t>先建后验</w:t>
      </w:r>
      <w:r>
        <w:t>”</w:t>
      </w:r>
      <w:r>
        <w:t>审批新模式。对工业仓储用地的建设项目，除了生产和储存甲、乙类易燃易爆危险物品的厂房、仓库等涉及重大公共安全的建设工程之外，工程规划许可（设计方案审查）全面推行</w:t>
      </w:r>
      <w:r>
        <w:t>“</w:t>
      </w:r>
      <w:r>
        <w:t>先建后验</w:t>
      </w:r>
      <w:r>
        <w:t>”</w:t>
      </w:r>
      <w:r>
        <w:t>审批新模式。</w:t>
      </w:r>
    </w:p>
    <w:p w:rsidR="00DE5DB7" w:rsidRDefault="00DE5DB7" w:rsidP="00DE5DB7">
      <w:pPr>
        <w:spacing w:line="242" w:lineRule="auto"/>
        <w:ind w:firstLineChars="200" w:firstLine="420"/>
      </w:pPr>
      <w:r>
        <w:t>3.0</w:t>
      </w:r>
      <w:r>
        <w:t>版改革后还将免于施工图审查。社会投资类工业仓储项目不再强制要求开展施工图审查，推行设计单位自审责任制，落实设计单位人员终身负责制。各项行政许可均不得以审查文件作为前置条件。建设单位在施工报建时采用告知承诺的方式，承诺提交的施工图设计文件符合公共利益、公众安全和工程建设强制性标准要求，同时将设计完成的施工图设计文件上传至施工图数字化审查管理系统。</w:t>
      </w:r>
    </w:p>
    <w:p w:rsidR="00DE5DB7" w:rsidRDefault="00DE5DB7" w:rsidP="00DE5DB7">
      <w:pPr>
        <w:spacing w:line="242" w:lineRule="auto"/>
        <w:ind w:firstLineChars="200" w:firstLine="420"/>
        <w:rPr>
          <w:rFonts w:hint="eastAsia"/>
        </w:rPr>
      </w:pPr>
      <w:r>
        <w:rPr>
          <w:rFonts w:hint="eastAsia"/>
        </w:rPr>
        <w:t>此外，记者了解到，</w:t>
      </w:r>
      <w:r>
        <w:t>3.0</w:t>
      </w:r>
      <w:r>
        <w:t>版改革之后，南沙还将进一步优化社会投资简易低风险工程建设项目审批服务和质量安全监管模式，将现行的简易低风险项目实施范围从</w:t>
      </w:r>
      <w:r>
        <w:t>2500</w:t>
      </w:r>
      <w:r>
        <w:t>平米以下拓展扩展至</w:t>
      </w:r>
      <w:r>
        <w:t>10000</w:t>
      </w:r>
      <w:r>
        <w:t>平米以下；同时精减办理流程与时间。项目立项到不动产登记全过程从</w:t>
      </w:r>
      <w:r>
        <w:t>6</w:t>
      </w:r>
      <w:r>
        <w:t>个环节</w:t>
      </w:r>
      <w:r>
        <w:t>28</w:t>
      </w:r>
      <w:r>
        <w:t>天精简为</w:t>
      </w:r>
      <w:r>
        <w:t>4</w:t>
      </w:r>
      <w:r>
        <w:t>个环节</w:t>
      </w:r>
      <w:r>
        <w:t>11</w:t>
      </w:r>
      <w:r>
        <w:t>天，总行政审批时间不超过</w:t>
      </w:r>
      <w:r>
        <w:t>5</w:t>
      </w:r>
      <w:r>
        <w:t>天等。南沙还将探索实施环评与排污许可证</w:t>
      </w:r>
      <w:r>
        <w:t>“</w:t>
      </w:r>
      <w:r>
        <w:t>两证合一</w:t>
      </w:r>
      <w:r>
        <w:t>”</w:t>
      </w:r>
      <w:r>
        <w:t>。加强建设项目环评与排污许可证内容衔接，建设单位在办理项目环评审批的同时，可以同步申领（变更）排污许可证，实现</w:t>
      </w:r>
      <w:r>
        <w:t>“</w:t>
      </w:r>
      <w:r>
        <w:t>一个项目，一口受理，同步审批，一次办结</w:t>
      </w:r>
      <w:r>
        <w:t>”</w:t>
      </w:r>
      <w:r>
        <w:t>。</w:t>
      </w:r>
    </w:p>
    <w:p w:rsidR="00DE5DB7" w:rsidRDefault="00DE5DB7" w:rsidP="00DE5DB7">
      <w:pPr>
        <w:spacing w:line="242" w:lineRule="auto"/>
        <w:ind w:firstLineChars="200" w:firstLine="420"/>
        <w:jc w:val="right"/>
        <w:rPr>
          <w:rFonts w:hint="eastAsia"/>
        </w:rPr>
      </w:pPr>
      <w:r w:rsidRPr="007B5084">
        <w:rPr>
          <w:rFonts w:hint="eastAsia"/>
        </w:rPr>
        <w:t>金羊网</w:t>
      </w:r>
      <w:smartTag w:uri="urn:schemas-microsoft-com:office:smarttags" w:element="chsdate">
        <w:smartTagPr>
          <w:attr w:name="Year" w:val="2020"/>
          <w:attr w:name="Month" w:val="9"/>
          <w:attr w:name="Day" w:val="9"/>
          <w:attr w:name="IsLunarDate" w:val="False"/>
          <w:attr w:name="IsROCDate" w:val="False"/>
        </w:smartTagPr>
        <w:r>
          <w:rPr>
            <w:rFonts w:hint="eastAsia"/>
          </w:rPr>
          <w:t>2020-9-9</w:t>
        </w:r>
      </w:smartTag>
    </w:p>
    <w:p w:rsidR="00DE5DB7" w:rsidRDefault="00DE5DB7" w:rsidP="00BC62E6">
      <w:pPr>
        <w:sectPr w:rsidR="00DE5DB7" w:rsidSect="00BC62E6">
          <w:type w:val="continuous"/>
          <w:pgSz w:w="11906" w:h="16838" w:code="9"/>
          <w:pgMar w:top="1644" w:right="1236" w:bottom="1418" w:left="1814" w:header="851" w:footer="907" w:gutter="0"/>
          <w:pgNumType w:start="1"/>
          <w:cols w:space="425"/>
          <w:docGrid w:type="lines" w:linePitch="341" w:charSpace="2373"/>
        </w:sectPr>
      </w:pPr>
    </w:p>
    <w:p w:rsidR="00310890" w:rsidRDefault="00310890"/>
    <w:sectPr w:rsidR="003108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5DB7"/>
    <w:rsid w:val="00310890"/>
    <w:rsid w:val="00DE5D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5DB7"/>
    <w:pPr>
      <w:widowControl/>
      <w:spacing w:before="100" w:beforeAutospacing="1" w:after="100" w:afterAutospacing="1" w:line="242"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5DB7"/>
    <w:rPr>
      <w:rFonts w:ascii="黑体" w:eastAsia="黑体" w:hAnsi="宋体" w:cs="Times New Roman"/>
      <w:b/>
      <w:kern w:val="36"/>
      <w:sz w:val="32"/>
      <w:szCs w:val="32"/>
    </w:rPr>
  </w:style>
  <w:style w:type="paragraph" w:customStyle="1" w:styleId="Char2CharCharChar">
    <w:name w:val="Char2 Char Char Char"/>
    <w:basedOn w:val="a"/>
    <w:autoRedefine/>
    <w:rsid w:val="00DE5DB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1293</Characters>
  <Application>Microsoft Office Word</Application>
  <DocSecurity>0</DocSecurity>
  <Lines>10</Lines>
  <Paragraphs>3</Paragraphs>
  <ScaleCrop>false</ScaleCrop>
  <Company>Win10NeT.COM</Company>
  <LinksUpToDate>false</LinksUpToDate>
  <CharactersWithSpaces>1516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2022-07-14T03:55:00Z</dcterms:created>
</cp:coreProperties>
</file>