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E10" w:rsidRDefault="00A23E10" w:rsidP="00751CD5">
      <w:pPr>
        <w:pStyle w:val="1"/>
        <w:rPr>
          <w:shd w:val="clear" w:color="auto" w:fill="FFFFFF"/>
        </w:rPr>
      </w:pPr>
      <w:r>
        <w:rPr>
          <w:rFonts w:hint="eastAsia"/>
          <w:shd w:val="clear" w:color="auto" w:fill="FFFFFF"/>
        </w:rPr>
        <w:t>汝南县委编办四项举措推动放权赋能改革与权责清单动态调整全面融合</w:t>
      </w:r>
    </w:p>
    <w:p w:rsidR="00A23E10" w:rsidRDefault="00A23E10" w:rsidP="00A23E10">
      <w:pPr>
        <w:ind w:firstLineChars="200" w:firstLine="420"/>
      </w:pPr>
      <w:r>
        <w:rPr>
          <w:rFonts w:hint="eastAsia"/>
        </w:rPr>
        <w:t>为进一步激发县域经济社会发展活力，推进放权赋能改革工作向纵深发展，确保经济管理权限“放得下、接得住、用得好”，为县域经济高质量发展提供体制机制保障。汝南县委编办通过四项举措，组织各职能部门在完成既定赋权任务的基础上，全面梳理承接赋权事项，及时对全县权责清单进行动态调整，推动放权赋能改革与权责清单动态调整全面融合。</w:t>
      </w:r>
    </w:p>
    <w:p w:rsidR="00A23E10" w:rsidRDefault="00A23E10" w:rsidP="00A23E10">
      <w:pPr>
        <w:ind w:firstLineChars="200" w:firstLine="420"/>
      </w:pPr>
      <w:r>
        <w:rPr>
          <w:rFonts w:hint="eastAsia"/>
        </w:rPr>
        <w:t>一、高度重视，认真组织</w:t>
      </w:r>
    </w:p>
    <w:p w:rsidR="00A23E10" w:rsidRDefault="00A23E10" w:rsidP="00A23E10">
      <w:pPr>
        <w:ind w:firstLineChars="200" w:firstLine="420"/>
      </w:pPr>
      <w:r>
        <w:rPr>
          <w:rFonts w:hint="eastAsia"/>
        </w:rPr>
        <w:t>一是学习先进，实地调研。县委编办与县委深改办、县行政服务中心组成联合工作组，深入兄弟县区调研学习先进经验，座谈研讨改革落实中的关键环节、重要事项，实地查看相关文件资料汇编，为高标准开展放权赋能改革与权责清单动态调整全面融合提供经验参考。二是积极动员，全面对接。与</w:t>
      </w:r>
      <w:r>
        <w:t>21</w:t>
      </w:r>
      <w:r>
        <w:t>个县直放权赋能职责单位对接沟通，明确各单位责任领导，抽调业务骨干及时跟进，建立工作台账，任务分解到人，确保工作落实快速响应、运转流畅。三是统一标准，严格执行。在全县</w:t>
      </w:r>
      <w:r>
        <w:t>3771</w:t>
      </w:r>
      <w:r>
        <w:t>项行政职权事项清单基础上，针对省级下放至县级的</w:t>
      </w:r>
      <w:r>
        <w:t>255</w:t>
      </w:r>
      <w:r>
        <w:t>项放权赋能事项开展动态</w:t>
      </w:r>
      <w:r>
        <w:rPr>
          <w:rFonts w:hint="eastAsia"/>
        </w:rPr>
        <w:t>调整工作。组织各相关单位依据事项类别，逐项拟订调整意见，经审核通过后，分别编制权责清单及流程图，纳入部门权责清单管理。</w:t>
      </w:r>
    </w:p>
    <w:p w:rsidR="00A23E10" w:rsidRDefault="00A23E10" w:rsidP="00A23E10">
      <w:pPr>
        <w:ind w:firstLineChars="200" w:firstLine="420"/>
      </w:pPr>
      <w:r>
        <w:rPr>
          <w:rFonts w:hint="eastAsia"/>
        </w:rPr>
        <w:t>二、集中培训，加强指导</w:t>
      </w:r>
    </w:p>
    <w:p w:rsidR="00A23E10" w:rsidRDefault="00A23E10" w:rsidP="00A23E10">
      <w:pPr>
        <w:ind w:firstLineChars="200" w:firstLine="420"/>
      </w:pPr>
      <w:r>
        <w:rPr>
          <w:rFonts w:hint="eastAsia"/>
        </w:rPr>
        <w:t>一是印发《关于进一步做好权责清单修订完善工作的通知》，组织召开全县推进权责清单动态调整工作培训会，就具体内容、格式规范、上报程序等进行了集中培训；明确各环节时间节点、完成时限，督促各单位及时完成动态调整工作。二是针对调整过程中遇到问题，建立微信工作群进行业务指导、答疑解惑。同时联合工作组深入各单位开展现场指导、实地督导，协调解决各单位权责清单动态调整过程中遇到的问题和难点。三是要求各单位高度重视材料报送标准。在报送的电子版权责清单上必须详细填写业务负责人和具体经办人联系方式，纸质版权责清单必须由责任领导签署意见并加盖单位行政公章，提升权责清单动态调整工作的严肃性，确保动态调整工作按时完成。</w:t>
      </w:r>
    </w:p>
    <w:p w:rsidR="00A23E10" w:rsidRDefault="00A23E10" w:rsidP="00A23E10">
      <w:pPr>
        <w:ind w:firstLineChars="200" w:firstLine="420"/>
      </w:pPr>
      <w:r>
        <w:rPr>
          <w:rFonts w:hint="eastAsia"/>
        </w:rPr>
        <w:t>三、及时汇总，严格审核</w:t>
      </w:r>
    </w:p>
    <w:p w:rsidR="00A23E10" w:rsidRDefault="00A23E10" w:rsidP="00A23E10">
      <w:pPr>
        <w:ind w:firstLineChars="200" w:firstLine="420"/>
      </w:pPr>
      <w:r>
        <w:rPr>
          <w:rFonts w:hint="eastAsia"/>
        </w:rPr>
        <w:t>从严把好审核关，采取“三对照”的方法，对报送的权责清单逐条逐项进行审核，确保每个调整的职权事项有理有据。一是权责清单、流程图、事项目录一一对应；二是动态调整表与事项目录一一对应；三是报送文件内容格式与文件要求一一对应。工作组认真细致校对各部门报送材料，对存在异议的职权事项，经交流沟通、认真研讨，提出具体修改意见，及时反馈给相关单位进行调整修改，确保权责事项职权名称、法定依据、办理流程的准确性、完整性。</w:t>
      </w:r>
    </w:p>
    <w:p w:rsidR="00A23E10" w:rsidRDefault="00A23E10" w:rsidP="00A23E10">
      <w:pPr>
        <w:ind w:firstLineChars="200" w:firstLine="420"/>
      </w:pPr>
      <w:r>
        <w:rPr>
          <w:rFonts w:hint="eastAsia"/>
        </w:rPr>
        <w:t>四、动态调整，全面公开</w:t>
      </w:r>
    </w:p>
    <w:p w:rsidR="00A23E10" w:rsidRDefault="00A23E10" w:rsidP="00A23E10">
      <w:pPr>
        <w:ind w:firstLineChars="200" w:firstLine="420"/>
      </w:pPr>
      <w:r>
        <w:rPr>
          <w:rFonts w:hint="eastAsia"/>
        </w:rPr>
        <w:t>一是分类汇总，归档存放。按照档案管理“双备份”制度要求，做好部门权责清单资料的收集、整理工作。所有电子版资料按单位分别归类、留存；所有纸质资料按单位分门别类整理，建立纸质档案，存放在专用档案柜。二是及时对接，全面公布。与县政务服务和大数据管理局及时对接，按照县政府门户网站规范要求，将权责清单转换成专用文档格式，公布在“政府信息公开——法定主动公开内容——权责清单”模块，便于群众搜索查阅。三是下放权限，动态管理。对已列入权责清单管理的行政职权，要求各部门定期查看权责清单公布的网址能否精准链接。并根据法律法规规章立改废释和部门职能调整等情况，涉及到本部门权责清单中行政职权事项的取消、变更或相关要素变化的，及时提出调整意见并启动新一轮动态调整工作，确保权责清单数据的时效性、准确性和完整性。</w:t>
      </w:r>
    </w:p>
    <w:p w:rsidR="00A23E10" w:rsidRDefault="00A23E10" w:rsidP="00A23E10">
      <w:pPr>
        <w:ind w:firstLineChars="200" w:firstLine="420"/>
        <w:jc w:val="right"/>
        <w:rPr>
          <w:bCs/>
          <w:shd w:val="clear" w:color="auto" w:fill="FFFFFF"/>
        </w:rPr>
      </w:pPr>
      <w:r>
        <w:rPr>
          <w:rFonts w:hint="eastAsia"/>
          <w:shd w:val="clear" w:color="auto" w:fill="FFFFFF"/>
        </w:rPr>
        <w:t>汝南县委编办</w:t>
      </w:r>
      <w:r w:rsidRPr="00751CD5">
        <w:rPr>
          <w:shd w:val="clear" w:color="auto" w:fill="FFFFFF"/>
        </w:rPr>
        <w:t>2022-04-19</w:t>
      </w:r>
    </w:p>
    <w:p w:rsidR="00A23E10" w:rsidRDefault="00A23E10" w:rsidP="00AF0537">
      <w:pPr>
        <w:rPr>
          <w:shd w:val="clear" w:color="auto" w:fill="FFFFFF"/>
        </w:rPr>
        <w:sectPr w:rsidR="00A23E10" w:rsidSect="00AF0537">
          <w:type w:val="continuous"/>
          <w:pgSz w:w="11906" w:h="16838"/>
          <w:pgMar w:top="1644" w:right="1236" w:bottom="1418" w:left="1814" w:header="851" w:footer="907" w:gutter="0"/>
          <w:pgNumType w:start="1"/>
          <w:cols w:space="720"/>
          <w:docGrid w:type="lines" w:linePitch="341" w:charSpace="2373"/>
        </w:sectPr>
      </w:pPr>
    </w:p>
    <w:p w:rsidR="008746C6" w:rsidRDefault="008746C6"/>
    <w:sectPr w:rsidR="008746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3E10"/>
    <w:rsid w:val="008746C6"/>
    <w:rsid w:val="00A23E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3E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3E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1210</Characters>
  <Application>Microsoft Office Word</Application>
  <DocSecurity>0</DocSecurity>
  <Lines>10</Lines>
  <Paragraphs>2</Paragraphs>
  <ScaleCrop>false</ScaleCrop>
  <Company>Sky123.Org</Company>
  <LinksUpToDate>false</LinksUpToDate>
  <CharactersWithSpaces>1420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2022-08-08T08:15:00Z</dcterms:created>
</cp:coreProperties>
</file>