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371EA" w:rsidRDefault="00C371EA" w:rsidP="00917261">
      <w:pPr>
        <w:pStyle w:val="1"/>
      </w:pPr>
      <w:r w:rsidRPr="00917261">
        <w:rPr>
          <w:rFonts w:hint="eastAsia"/>
        </w:rPr>
        <w:t>江门市商务局：党史学习教育见成效</w:t>
      </w:r>
      <w:r w:rsidRPr="00917261">
        <w:t xml:space="preserve"> 招商引资结硕果</w:t>
      </w:r>
    </w:p>
    <w:p w:rsidR="00C371EA" w:rsidRDefault="00C371EA" w:rsidP="00C371EA">
      <w:pPr>
        <w:ind w:firstLineChars="200" w:firstLine="420"/>
        <w:jc w:val="left"/>
      </w:pPr>
      <w:r>
        <w:rPr>
          <w:rFonts w:hint="eastAsia"/>
        </w:rPr>
        <w:t>市商务局强化政治引领，认真学习贯彻习近平总书记“七一”重要讲话和党的十九届六中全会精神，以及市委十三届十六次全会精神，深入开展党史学习教育，提振党员干部精气神，扛起改革攻坚硬担当，着力提升服务意识和办实事能力，深入实施“工业立市、制造强市”发展战略，积极开展产业链招商，推动全市招商引资喜开花、结硕果，实现“十四五”招商工作开好局起好步。</w:t>
      </w:r>
    </w:p>
    <w:p w:rsidR="00C371EA" w:rsidRDefault="00C371EA" w:rsidP="00C371EA">
      <w:pPr>
        <w:ind w:firstLineChars="200" w:firstLine="420"/>
        <w:jc w:val="left"/>
      </w:pPr>
      <w:r>
        <w:rPr>
          <w:rFonts w:hint="eastAsia"/>
        </w:rPr>
        <w:t>一、学党史强党性，凝聚发展新动力</w:t>
      </w:r>
    </w:p>
    <w:p w:rsidR="00C371EA" w:rsidRDefault="00C371EA" w:rsidP="00C371EA">
      <w:pPr>
        <w:ind w:firstLineChars="200" w:firstLine="420"/>
        <w:jc w:val="left"/>
      </w:pPr>
      <w:r>
        <w:rPr>
          <w:rFonts w:hint="eastAsia"/>
        </w:rPr>
        <w:t>打造一支“又红又专”的“招商铁军”。一是集中学习研讨，强化理论武装。通过召开“三会一课”学习、辅导宣讲会，举办江门市招商技能提升培训班，促进招商干部深刻领会中国共产党成功推进革命、建设、改革的宝贵经验，学会用历史思维、战略思维来分析形势、把握大势，勤练内功，不断丰富和扩大自身知识储备。二是开展革命传统教育，砥砺政治品格。通过组织参观“百年恰是风华正茂”主题档案文献展，观看红色电影《长津湖》，到鹤山县苏维埃政府旧址等红色教学点实地开展“打卡广东红”活动，举办新老两代话传承</w:t>
      </w:r>
      <w:r>
        <w:t xml:space="preserve"> </w:t>
      </w:r>
      <w:r>
        <w:t>聆听历史担使命</w:t>
      </w:r>
      <w:r>
        <w:t>”</w:t>
      </w:r>
      <w:r>
        <w:t>等主题党日活动，</w:t>
      </w:r>
      <w:r>
        <w:rPr>
          <w:rFonts w:hint="eastAsia"/>
        </w:rPr>
        <w:t>引导党员干部锤炼党性，发扬艰苦奋斗、敢为人先、勇于开拓、改革创新、实干兴邦的革命精神</w:t>
      </w:r>
      <w:r>
        <w:t>,</w:t>
      </w:r>
      <w:r>
        <w:t>恪守</w:t>
      </w:r>
      <w:r>
        <w:t>“</w:t>
      </w:r>
      <w:r>
        <w:t>奉献、专业、高效、诚信</w:t>
      </w:r>
      <w:r>
        <w:t>”</w:t>
      </w:r>
      <w:r>
        <w:t>招商精神。三是树立</w:t>
      </w:r>
      <w:r>
        <w:t>“</w:t>
      </w:r>
      <w:r>
        <w:t>只争朝夕干，加快节奏干</w:t>
      </w:r>
      <w:r>
        <w:t>”</w:t>
      </w:r>
      <w:r>
        <w:t>的工作作风。为抓紧抓牢目标企业和项目，招商干部经常放弃休息时间，加班加点、不分昼夜撰写推介材料、准备洽谈资料，或组队外出招商。在</w:t>
      </w:r>
      <w:r>
        <w:t>24</w:t>
      </w:r>
      <w:r>
        <w:t>小时内辗转数千公里，利用旅途间隙，以机场为办公区，以机舱为学习室，是常态化的工作写照。正是凭着这种拼搏奋进精神，今年，在招商引资工作中取得突出成绩的市商务局投资服务科被评为</w:t>
      </w:r>
      <w:r>
        <w:t>“</w:t>
      </w:r>
      <w:r>
        <w:t>市直机关模范机关创建先进单位</w:t>
      </w:r>
      <w:r>
        <w:t>”</w:t>
      </w:r>
      <w:r>
        <w:t>。</w:t>
      </w:r>
    </w:p>
    <w:p w:rsidR="00C371EA" w:rsidRDefault="00C371EA" w:rsidP="00C371EA">
      <w:pPr>
        <w:ind w:firstLineChars="200" w:firstLine="420"/>
        <w:jc w:val="left"/>
      </w:pPr>
      <w:r>
        <w:rPr>
          <w:rFonts w:hint="eastAsia"/>
        </w:rPr>
        <w:t>二、学党史践初心，情系企业勇担当</w:t>
      </w:r>
    </w:p>
    <w:p w:rsidR="00C371EA" w:rsidRDefault="00C371EA" w:rsidP="00C371EA">
      <w:pPr>
        <w:ind w:firstLineChars="200" w:firstLine="420"/>
        <w:jc w:val="left"/>
      </w:pPr>
      <w:r>
        <w:rPr>
          <w:rFonts w:hint="eastAsia"/>
        </w:rPr>
        <w:t>结合招商引资工作开展“我为群众办实事”，组织党员干部深入企业，与投资企业、项目建设方面对面交流，关心他们的“烦心事”，想企业之所想，急项目之所急，坚持服务到位、服务到底。一是优化投资政策环境。落实“招商引资激励政策十二条”，加大对企业的扶持。制定《江门市商务局关于激励新投资的实施办法》，鼓励产业项目加快动工建设，兑付摩尔科技产业园、荷塘万洋众创、崇达电路、赞宇科技、世茂电子等</w:t>
      </w:r>
      <w:r>
        <w:t>17</w:t>
      </w:r>
      <w:r>
        <w:t>家企业项目奖励资金</w:t>
      </w:r>
      <w:r>
        <w:t>1310</w:t>
      </w:r>
      <w:r>
        <w:t>万元。二是协调解决项目推进难题。举办江门市跨国公司直通车机制企业政府事务代表座谈暨政银企交流活动，传</w:t>
      </w:r>
      <w:r>
        <w:rPr>
          <w:rFonts w:hint="eastAsia"/>
        </w:rPr>
        <w:t>达中央和省、市稳外资稳投资的精神和举措，协调解决项目洽谈引进、落地建设和资金奖励等问题，协助我市符合条件的</w:t>
      </w:r>
      <w:r>
        <w:t>6</w:t>
      </w:r>
      <w:r>
        <w:t>家企业申请省</w:t>
      </w:r>
      <w:r>
        <w:t>“</w:t>
      </w:r>
      <w:r>
        <w:t>外资十条</w:t>
      </w:r>
      <w:r>
        <w:t>”</w:t>
      </w:r>
      <w:r>
        <w:t>奖励，获得奖励资金合计</w:t>
      </w:r>
      <w:r>
        <w:t>5719.5</w:t>
      </w:r>
      <w:r>
        <w:t>万元。三是推动项目加快建设投产。马不停蹄招商引商，真诚细致服务企业。及时协调解决企业落户、发展过程中遇到的困难和问题。每季度统筹协调各县（市、区）举办重大项目集中动工（投产）活动，营造重大项目加快建设投产</w:t>
      </w:r>
      <w:r>
        <w:t>“</w:t>
      </w:r>
      <w:r>
        <w:t>比学赶超</w:t>
      </w:r>
      <w:r>
        <w:t>”</w:t>
      </w:r>
      <w:r>
        <w:t>的良好氛围。前三季度，我市举行重大项目集中动工（投产）活动推动了</w:t>
      </w:r>
      <w:r>
        <w:t>330</w:t>
      </w:r>
      <w:r>
        <w:t>个项目动工投产，投资额</w:t>
      </w:r>
      <w:r>
        <w:t>1925.61</w:t>
      </w:r>
      <w:r>
        <w:t>亿元，其中，动工项目</w:t>
      </w:r>
      <w:r>
        <w:t>243</w:t>
      </w:r>
      <w:r>
        <w:t>个，投资额</w:t>
      </w:r>
      <w:r>
        <w:t>1682.33</w:t>
      </w:r>
      <w:r>
        <w:t>亿元；投产项目</w:t>
      </w:r>
      <w:r>
        <w:t>87</w:t>
      </w:r>
      <w:r>
        <w:t>个，投资额</w:t>
      </w:r>
      <w:r>
        <w:t>243.28</w:t>
      </w:r>
      <w:r>
        <w:t>亿元。优惠的招商政策、宾至如归的暖心服务，得到企业一致好评，成为江门营商环境的</w:t>
      </w:r>
      <w:r>
        <w:t>“</w:t>
      </w:r>
      <w:r>
        <w:t>金名片</w:t>
      </w:r>
      <w:r>
        <w:t>”</w:t>
      </w:r>
      <w:r>
        <w:t>。</w:t>
      </w:r>
    </w:p>
    <w:p w:rsidR="00C371EA" w:rsidRDefault="00C371EA" w:rsidP="00C371EA">
      <w:pPr>
        <w:ind w:firstLineChars="200" w:firstLine="420"/>
        <w:jc w:val="left"/>
      </w:pPr>
      <w:r>
        <w:rPr>
          <w:rFonts w:hint="eastAsia"/>
        </w:rPr>
        <w:t>三、学党史勇破题，淬炼“招大引强”硬功</w:t>
      </w:r>
    </w:p>
    <w:p w:rsidR="00C371EA" w:rsidRDefault="00C371EA" w:rsidP="00C371EA">
      <w:pPr>
        <w:ind w:firstLineChars="200" w:firstLine="420"/>
        <w:jc w:val="left"/>
      </w:pPr>
      <w:r>
        <w:rPr>
          <w:rFonts w:hint="eastAsia"/>
        </w:rPr>
        <w:t>立足新发展阶段，全面贯彻新发展理念，紧紧围绕新发展格局这个“纲”，立足商务工作定位，牢牢抓住“双区”建设、“双城”联动和支持横琴前海两个合作区建设重大历史机遇，认真贯彻落实市委、市政府的部署要求，把学习党史与总结经验、创新破题、加快发展结合起来，统筹协调全市招商引资工作。一是发挥招商参谋作用。重点围绕招商引资专项督查、超</w:t>
      </w:r>
      <w:r>
        <w:t>10</w:t>
      </w:r>
      <w:r>
        <w:t>亿元产业项目跟踪、重大工业项目招商引资等方面，向市政府报送多份招商意见、调研报告，协助市人大、市政协、民建江门市委会等单位开展招商引资落地难、动工慢等系列调研活动。二是抓好特大项目招</w:t>
      </w:r>
      <w:r>
        <w:rPr>
          <w:rFonts w:hint="eastAsia"/>
        </w:rPr>
        <w:t>商。积极实施</w:t>
      </w:r>
      <w:r>
        <w:t>2021</w:t>
      </w:r>
      <w:r>
        <w:t>年</w:t>
      </w:r>
      <w:r>
        <w:t>“</w:t>
      </w:r>
      <w:r>
        <w:t>工业项目建设提速年</w:t>
      </w:r>
      <w:r>
        <w:t>”</w:t>
      </w:r>
      <w:r>
        <w:t>行动，挖掘项目线索，跟进投资信息，做好评估分析，协调各县（市、区）、各有关部门合力跟进特大先进制造业项目。今年以来，组织召开各类专题会议</w:t>
      </w:r>
      <w:r>
        <w:t>10</w:t>
      </w:r>
      <w:r>
        <w:t>余次，落实市领导外出招商考察活动</w:t>
      </w:r>
      <w:r>
        <w:t>5</w:t>
      </w:r>
      <w:r>
        <w:t>次。深入开展项目引进可行性研究，为特大项目顺利推进提供了坚强保障。三是强化产业链招商。围绕重大产业集群、新能源汽车及零部件、新能源电池、摩托车等</w:t>
      </w:r>
      <w:r>
        <w:t>14</w:t>
      </w:r>
      <w:r>
        <w:t>条产业链，深入开展产业链精准招商，落实一链一招商专班机制，制定招商行动计划，强化市县联动招商，锲而不舍推动重点项目加快洽谈落户。同时，突出以商招商</w:t>
      </w:r>
      <w:r>
        <w:rPr>
          <w:rFonts w:hint="eastAsia"/>
        </w:rPr>
        <w:t>，推进同类企业及上下游配套企业聚集，促进优势产业实现新突破，形成企业集群发展新态势。</w:t>
      </w:r>
    </w:p>
    <w:p w:rsidR="00C371EA" w:rsidRDefault="00C371EA" w:rsidP="00C371EA">
      <w:pPr>
        <w:ind w:firstLineChars="200" w:firstLine="420"/>
        <w:jc w:val="left"/>
      </w:pPr>
      <w:r>
        <w:rPr>
          <w:rFonts w:hint="eastAsia"/>
        </w:rPr>
        <w:t>四、学党史开新局，谱写招商新篇章</w:t>
      </w:r>
    </w:p>
    <w:p w:rsidR="00C371EA" w:rsidRDefault="00C371EA" w:rsidP="00C371EA">
      <w:pPr>
        <w:ind w:firstLineChars="200" w:firstLine="420"/>
        <w:jc w:val="left"/>
      </w:pPr>
      <w:r>
        <w:rPr>
          <w:rFonts w:hint="eastAsia"/>
        </w:rPr>
        <w:t>根据市政府的工作要求，</w:t>
      </w:r>
      <w:r>
        <w:t>2021</w:t>
      </w:r>
      <w:r>
        <w:t>年全市要集中力量引进</w:t>
      </w:r>
      <w:r>
        <w:t>200</w:t>
      </w:r>
      <w:r>
        <w:t>个制造业项目，其中，投资超亿元产业链项目要占引进项目的</w:t>
      </w:r>
      <w:r>
        <w:t>70%</w:t>
      </w:r>
      <w:r>
        <w:t>以上，同时，力争在引进投资超</w:t>
      </w:r>
      <w:r>
        <w:t>50</w:t>
      </w:r>
      <w:r>
        <w:t>亿元、超</w:t>
      </w:r>
      <w:r>
        <w:t>100</w:t>
      </w:r>
      <w:r>
        <w:t>亿元重大项目上取得突破。</w:t>
      </w:r>
      <w:r>
        <w:t>1-10</w:t>
      </w:r>
      <w:r>
        <w:t>月，全市引进投资超亿元项目</w:t>
      </w:r>
      <w:r>
        <w:t>224</w:t>
      </w:r>
      <w:r>
        <w:t>个，计划投资额</w:t>
      </w:r>
      <w:r>
        <w:t>1467.2</w:t>
      </w:r>
      <w:r>
        <w:t>亿元，其中，超亿元制造项目</w:t>
      </w:r>
      <w:r>
        <w:t>188</w:t>
      </w:r>
      <w:r>
        <w:t>个（完成全年目标任务的</w:t>
      </w:r>
      <w:r>
        <w:t>94%</w:t>
      </w:r>
      <w:r>
        <w:t>），投资额</w:t>
      </w:r>
      <w:r>
        <w:t>1006.91</w:t>
      </w:r>
      <w:r>
        <w:t>亿元；超亿元产业链项目</w:t>
      </w:r>
      <w:r>
        <w:t>167</w:t>
      </w:r>
      <w:r>
        <w:t>个（占引进超亿元产业项目的</w:t>
      </w:r>
      <w:r>
        <w:t>74.6%</w:t>
      </w:r>
      <w:r>
        <w:t>，超额完成投资超亿元产业链项目占引进项目的</w:t>
      </w:r>
      <w:r>
        <w:t>70%</w:t>
      </w:r>
      <w:r>
        <w:t>以上的目标任务），投资额</w:t>
      </w:r>
      <w:r>
        <w:t>919.74</w:t>
      </w:r>
      <w:r>
        <w:t>亿元；超</w:t>
      </w:r>
      <w:r>
        <w:t>10</w:t>
      </w:r>
      <w:r>
        <w:t>亿元制造项目</w:t>
      </w:r>
      <w:r>
        <w:t>28</w:t>
      </w:r>
      <w:r>
        <w:t>个，投资额</w:t>
      </w:r>
      <w:r>
        <w:t>605.06</w:t>
      </w:r>
      <w:r>
        <w:t>亿元。巴德富环保新材料华南综合生产基地、福斯特新材料华南生产基地、半导体科技及</w:t>
      </w:r>
      <w:r>
        <w:t>Mini LED</w:t>
      </w:r>
      <w:r>
        <w:t>项目、电子雾化科技园项目、集成电路材料研发生产基地等</w:t>
      </w:r>
      <w:r>
        <w:t>18</w:t>
      </w:r>
      <w:r>
        <w:t>个投资超</w:t>
      </w:r>
      <w:r>
        <w:t>20</w:t>
      </w:r>
      <w:r>
        <w:t>亿元的产业项目相继签约落户，其中，超</w:t>
      </w:r>
      <w:r>
        <w:t>50</w:t>
      </w:r>
      <w:r>
        <w:t>亿元项目</w:t>
      </w:r>
      <w:r>
        <w:t>4</w:t>
      </w:r>
      <w:r>
        <w:t>个，超</w:t>
      </w:r>
      <w:r>
        <w:t>100</w:t>
      </w:r>
      <w:r>
        <w:t>亿元项目</w:t>
      </w:r>
      <w:r>
        <w:t>2</w:t>
      </w:r>
      <w:r>
        <w:t>个，完成引进投资超</w:t>
      </w:r>
      <w:r>
        <w:t>50</w:t>
      </w:r>
      <w:r>
        <w:t>亿元、超</w:t>
      </w:r>
      <w:r>
        <w:t>100</w:t>
      </w:r>
      <w:r>
        <w:t>亿元重大项目的工作任务。</w:t>
      </w:r>
    </w:p>
    <w:p w:rsidR="00C371EA" w:rsidRDefault="00C371EA" w:rsidP="00C371EA">
      <w:pPr>
        <w:ind w:firstLineChars="200" w:firstLine="420"/>
        <w:jc w:val="right"/>
      </w:pPr>
      <w:r w:rsidRPr="00917261">
        <w:rPr>
          <w:rFonts w:hint="eastAsia"/>
        </w:rPr>
        <w:t>江门商务</w:t>
      </w:r>
      <w:r w:rsidRPr="00917261">
        <w:t>2021-12-02</w:t>
      </w:r>
    </w:p>
    <w:p w:rsidR="00C371EA" w:rsidRDefault="00C371EA" w:rsidP="00E17742">
      <w:pPr>
        <w:sectPr w:rsidR="00C371EA" w:rsidSect="00E17742">
          <w:type w:val="continuous"/>
          <w:pgSz w:w="11906" w:h="16838"/>
          <w:pgMar w:top="1644" w:right="1236" w:bottom="1418" w:left="1814" w:header="851" w:footer="907" w:gutter="0"/>
          <w:pgNumType w:start="1"/>
          <w:cols w:space="720"/>
          <w:docGrid w:type="lines" w:linePitch="341" w:charSpace="2373"/>
        </w:sectPr>
      </w:pPr>
    </w:p>
    <w:p w:rsidR="00B7449D" w:rsidRDefault="00B7449D"/>
    <w:sectPr w:rsidR="00B7449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371EA"/>
    <w:rsid w:val="00B7449D"/>
    <w:rsid w:val="00C371E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371E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371E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349</Words>
  <Characters>1995</Characters>
  <Application>Microsoft Office Word</Application>
  <DocSecurity>0</DocSecurity>
  <Lines>16</Lines>
  <Paragraphs>4</Paragraphs>
  <ScaleCrop>false</ScaleCrop>
  <Company>Win10NeT.COM</Company>
  <LinksUpToDate>false</LinksUpToDate>
  <CharactersWithSpaces>2340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2022-06-08T10:11:00Z</dcterms:created>
</cp:coreProperties>
</file>