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6924" w:rsidRDefault="00246924" w:rsidP="00D76FB6">
      <w:pPr>
        <w:pStyle w:val="1"/>
      </w:pPr>
      <w:r w:rsidRPr="00D76FB6">
        <w:rPr>
          <w:rFonts w:hint="eastAsia"/>
        </w:rPr>
        <w:t>吉林省交通运输科技及信息化十四五规划的八大任务</w:t>
      </w:r>
    </w:p>
    <w:p w:rsidR="00246924" w:rsidRDefault="00246924" w:rsidP="00246924">
      <w:pPr>
        <w:ind w:firstLineChars="200" w:firstLine="420"/>
      </w:pPr>
      <w:r>
        <w:rPr>
          <w:rFonts w:hint="eastAsia"/>
        </w:rPr>
        <w:t>日前，吉林省交通运输厅发布了《吉林省交通运输科技及信息化发展“十四五”规划》。规划提出到</w:t>
      </w:r>
      <w:r>
        <w:t>2025</w:t>
      </w:r>
      <w:r>
        <w:t>年，交通运输重大科技研发和应用取得新突破，研究构建交通基础设施设计、施工、运营三阶段标准体系，科技创新能力进一步增强。先进信息技术赋能交通运输发展，基本建成面向全省行业业务领域跨层级的省级交通运输信息平台，构建吉林省交通运输科技及信息化体系，基本实现吉林省交通运输科技及信息化建设</w:t>
      </w:r>
      <w:r>
        <w:t>“</w:t>
      </w:r>
      <w:r>
        <w:t>一脑、五提升、两体系</w:t>
      </w:r>
      <w:r>
        <w:t>”</w:t>
      </w:r>
      <w:r>
        <w:t>的发展目标。</w:t>
      </w:r>
    </w:p>
    <w:p w:rsidR="00246924" w:rsidRDefault="00246924" w:rsidP="00246924">
      <w:pPr>
        <w:ind w:firstLineChars="200" w:firstLine="420"/>
      </w:pPr>
      <w:r>
        <w:rPr>
          <w:rFonts w:hint="eastAsia"/>
        </w:rPr>
        <w:t>总体框架</w:t>
      </w:r>
    </w:p>
    <w:p w:rsidR="00246924" w:rsidRDefault="00246924" w:rsidP="00246924">
      <w:pPr>
        <w:ind w:firstLineChars="200" w:firstLine="420"/>
      </w:pPr>
      <w:r>
        <w:rPr>
          <w:rFonts w:hint="eastAsia"/>
        </w:rPr>
        <w:t>规划明确了“十四五”期间，依托“吉林祥云”应用支撑云平台，统筹全省交通运输数据资源，构建统一的集约化交通运输信息平台，打造吉林“交通大脑”。进一步加强新技术应用，深化“互联网</w:t>
      </w:r>
      <w:r>
        <w:t>+”</w:t>
      </w:r>
      <w:r>
        <w:t>管理，加快</w:t>
      </w:r>
      <w:r>
        <w:t>“</w:t>
      </w:r>
      <w:r>
        <w:t>智慧公路、智慧出行</w:t>
      </w:r>
      <w:r>
        <w:t>”</w:t>
      </w:r>
      <w:r>
        <w:t>建设，全面提升基础设施数字化、行业治理现代化、公众出行便捷化、物流服务高效化和科技创新支撑水平。构建交通运输</w:t>
      </w:r>
      <w:r>
        <w:t>“</w:t>
      </w:r>
      <w:r>
        <w:t>标准体系</w:t>
      </w:r>
      <w:r>
        <w:t>”“</w:t>
      </w:r>
      <w:r>
        <w:t>网络信息安全体系</w:t>
      </w:r>
      <w:r>
        <w:t>”</w:t>
      </w:r>
      <w:r>
        <w:t>，支撑保障科技及信息化建设可持续发展。以服务管理、服务行业、服务社会为目标，构建满足吉林省交通运输</w:t>
      </w:r>
      <w:r>
        <w:t>“</w:t>
      </w:r>
      <w:r>
        <w:t>一脑、五提升、两体系</w:t>
      </w:r>
      <w:r>
        <w:t>”</w:t>
      </w:r>
      <w:r>
        <w:t>的科技及信息化发展目标的总体框架。</w:t>
      </w:r>
    </w:p>
    <w:p w:rsidR="00246924" w:rsidRDefault="00246924" w:rsidP="00246924">
      <w:pPr>
        <w:ind w:firstLineChars="200" w:firstLine="420"/>
      </w:pPr>
      <w:r>
        <w:rPr>
          <w:noProof/>
        </w:rPr>
        <w:drawing>
          <wp:inline distT="0" distB="0" distL="0" distR="0">
            <wp:extent cx="5623560" cy="3237777"/>
            <wp:effectExtent l="19050" t="0" r="0" b="0"/>
            <wp:docPr id="308" name="图片 308" descr="https://p3.itc.cn/q_70/images03/20220705/65fb2ab7492042239208111b782ec6f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descr="https://p3.itc.cn/q_70/images03/20220705/65fb2ab7492042239208111b782ec6fd.png"/>
                    <pic:cNvPicPr>
                      <a:picLocks noChangeAspect="1" noChangeArrowheads="1"/>
                    </pic:cNvPicPr>
                  </pic:nvPicPr>
                  <pic:blipFill>
                    <a:blip r:embed="rId4"/>
                    <a:srcRect/>
                    <a:stretch>
                      <a:fillRect/>
                    </a:stretch>
                  </pic:blipFill>
                  <pic:spPr bwMode="auto">
                    <a:xfrm>
                      <a:off x="0" y="0"/>
                      <a:ext cx="5623560" cy="3237777"/>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rFonts w:hint="eastAsia"/>
        </w:rPr>
        <w:t>吉林省交通运输科技及信息化总体框架</w:t>
      </w:r>
    </w:p>
    <w:p w:rsidR="00246924" w:rsidRDefault="00246924" w:rsidP="00246924">
      <w:pPr>
        <w:ind w:firstLineChars="200" w:firstLine="420"/>
      </w:pPr>
      <w:r>
        <w:rPr>
          <w:rFonts w:hint="eastAsia"/>
        </w:rPr>
        <w:t>八大任务</w:t>
      </w:r>
    </w:p>
    <w:p w:rsidR="00246924" w:rsidRDefault="00246924" w:rsidP="00246924">
      <w:pPr>
        <w:ind w:firstLineChars="200" w:firstLine="420"/>
      </w:pPr>
      <w:r>
        <w:rPr>
          <w:rFonts w:hint="eastAsia"/>
        </w:rPr>
        <w:t>规划提出强化科技攻关及成果应用；构建交通运输信息平台和大数据中心体系；强化交通运输“互联网</w:t>
      </w:r>
      <w:r>
        <w:t>+”</w:t>
      </w:r>
      <w:r>
        <w:t>监管和服务；推进新型基础设施建设，提升交通基础设施数字化、智能化水平；推进一体化智慧出行服务体系建设；推动智慧物流发展；加强交通运输信息基础设施和数据安全防护；规范创新成果应用和信息化建设的八大任务，具体如下：</w:t>
      </w:r>
    </w:p>
    <w:p w:rsidR="00246924" w:rsidRDefault="00246924" w:rsidP="00246924">
      <w:pPr>
        <w:ind w:firstLineChars="200" w:firstLine="420"/>
      </w:pPr>
      <w:r>
        <w:t>1</w:t>
      </w:r>
    </w:p>
    <w:p w:rsidR="00246924" w:rsidRDefault="00246924" w:rsidP="00246924">
      <w:pPr>
        <w:ind w:firstLineChars="200" w:firstLine="420"/>
      </w:pPr>
      <w:r>
        <w:rPr>
          <w:rFonts w:hint="eastAsia"/>
        </w:rPr>
        <w:t>强化科技攻关及成果应用，提升行业创新水平</w:t>
      </w:r>
    </w:p>
    <w:p w:rsidR="00246924" w:rsidRDefault="00246924" w:rsidP="00246924">
      <w:pPr>
        <w:ind w:firstLineChars="200" w:firstLine="420"/>
      </w:pPr>
      <w:r>
        <w:rPr>
          <w:rFonts w:hint="eastAsia"/>
        </w:rPr>
        <w:t>将新一代信息技术与传统基础设施有效融合，围绕交通强国建设吉林省试点任务要点，突破一批行业重大关键技术，开展农村公路养护技术、季冻区绿色低碳技术攻关，创新能力明显提升，促进科研成果产业化发展、规模化应用，有力推动交通运输高质量发展。</w:t>
      </w:r>
    </w:p>
    <w:p w:rsidR="00246924" w:rsidRDefault="00246924" w:rsidP="00246924">
      <w:pPr>
        <w:ind w:firstLineChars="200" w:firstLine="420"/>
      </w:pPr>
      <w:r>
        <w:rPr>
          <w:rFonts w:hint="eastAsia"/>
        </w:rPr>
        <w:t>加强交通强国试点支撑技术研发。集中科研优势力量，汇聚科技创新资源配置，依托旅游大通道（</w:t>
      </w:r>
      <w:r>
        <w:t>G331</w:t>
      </w:r>
      <w:r>
        <w:t>吉林境内段）建设，重点开展东部山区公路建设、边坡稳定与防护、交旅融合、安全监测与预警，公路基础设施长期性能监测、车辆主动管控技术等研究。开展旅游航道、松辽水系入海通道建设关键技术研究。</w:t>
      </w:r>
    </w:p>
    <w:p w:rsidR="00246924" w:rsidRDefault="00246924" w:rsidP="00246924">
      <w:pPr>
        <w:ind w:firstLineChars="200" w:firstLine="420"/>
      </w:pPr>
      <w:r>
        <w:rPr>
          <w:rFonts w:hint="eastAsia"/>
        </w:rPr>
        <w:t>开展农村公路建养技术攻关。支撑“四好农村路”建设，推动农村公路高质量发展，重点开展农村公路低成本养护、路面结构优化、技术指标评定、安全应急保障、小型养护机具等技术、材料和设备研发。</w:t>
      </w:r>
    </w:p>
    <w:p w:rsidR="00246924" w:rsidRDefault="00246924" w:rsidP="00246924">
      <w:pPr>
        <w:ind w:firstLineChars="200" w:firstLine="420"/>
      </w:pPr>
      <w:r>
        <w:rPr>
          <w:rFonts w:hint="eastAsia"/>
        </w:rPr>
        <w:t>开展季冻区绿色环保低碳技术攻关。深化分析季冻区绿色环保低碳需求，开展绿色低碳关键技术研发与应用。落实国家碳排放政策，推动开展季冻区交通运输碳达峰、碳中和战略框架，以及碳排放监测等研究。</w:t>
      </w:r>
    </w:p>
    <w:p w:rsidR="00246924" w:rsidRDefault="00246924" w:rsidP="00246924">
      <w:pPr>
        <w:ind w:firstLineChars="200" w:firstLine="420"/>
      </w:pPr>
      <w:r>
        <w:rPr>
          <w:rFonts w:hint="eastAsia"/>
        </w:rPr>
        <w:t>推动科研成果转化应用。推荐优秀的科研成果申报交通运输部创新成果库，鼓励先进、成熟且有标准规范做支撑的科研成果纳入工程设计；鼓励在关键控制工程、隐蔽工程中采用先进设备开展试验检测和评定，规模化推广应用先进实用成果及专利技术，进一步落实科研成果转化激励机制，提升科研成果转化率。</w:t>
      </w:r>
    </w:p>
    <w:p w:rsidR="00246924" w:rsidRDefault="00246924" w:rsidP="00246924">
      <w:pPr>
        <w:ind w:firstLineChars="200" w:firstLine="420"/>
      </w:pPr>
      <w:r>
        <w:rPr>
          <w:rFonts w:hint="eastAsia"/>
        </w:rPr>
        <w:t>加强科技创新能力建设。持续支持重点科研平台发展，加大对交通行业重点科研平台支持力度，支持其开展科研基础条件建设及承担重大科技项目，推动科研成果的工程化和产业化；鼓励对产品改进、工艺提升及具有推广应用价值的“小发明、小创造、小革新、小改进”等群众性技术微创新；推动具有季冻区特色、彰显交通高质量发展的特色科普教育基地建设，促进技术研发、成果推广与科普宣传有机结合，持续提升科技创新能力。</w:t>
      </w:r>
    </w:p>
    <w:p w:rsidR="00246924" w:rsidRDefault="00246924" w:rsidP="00246924">
      <w:pPr>
        <w:ind w:firstLineChars="200" w:firstLine="420"/>
      </w:pPr>
      <w:r>
        <w:t>2</w:t>
      </w:r>
    </w:p>
    <w:p w:rsidR="00246924" w:rsidRDefault="00246924" w:rsidP="00246924">
      <w:pPr>
        <w:ind w:firstLineChars="200" w:firstLine="420"/>
      </w:pPr>
      <w:r>
        <w:rPr>
          <w:rFonts w:hint="eastAsia"/>
        </w:rPr>
        <w:t>构建交通运输信息平台和大数据中心体系，打造吉林“交通大脑”</w:t>
      </w:r>
    </w:p>
    <w:p w:rsidR="00246924" w:rsidRDefault="00246924" w:rsidP="00246924">
      <w:pPr>
        <w:ind w:firstLineChars="200" w:firstLine="420"/>
      </w:pPr>
      <w:r>
        <w:rPr>
          <w:rFonts w:hint="eastAsia"/>
        </w:rPr>
        <w:t>推进智慧型交通运输信息化管理的核心体系建设，建立数据资源共享和业务协同联动机制，完善交通运输大数据中心与高速公路大数据中心的建设，逐步建成统一的吉林交通运输信息平台，推动高速公路信息平台、地方交通运输信息平台建设，加强数据资源的整合共享、综合开发和智能应用，实现数据互通、业务互融、服务互促，构建吉林“交通大脑”；加强“交通大脑”与各市（州）“城市大脑”融合发展，全面提升城市公交、城际交通运输数字化、智能化；深化大数据分析应用场景，推进基于大数据的人工智能技术创新性研究，促进我省交通运输行业提质增效。</w:t>
      </w:r>
    </w:p>
    <w:p w:rsidR="00246924" w:rsidRDefault="00246924" w:rsidP="00246924">
      <w:pPr>
        <w:ind w:firstLineChars="200" w:firstLine="420"/>
      </w:pPr>
      <w:r>
        <w:rPr>
          <w:rFonts w:hint="eastAsia"/>
        </w:rPr>
        <w:t>构建交通运输大数据中心体系。完善交通运输信息资源规划，制定我省交通运输行业数据及服务标准规范体系，推动行业资源汇聚，构建省交通运输大数据中心，推进高速公路大数据中心及地方交通运输大数据中心建设，实现行业数据资源共享和互联互通，打破信息孤岛；充分利用大数据平台的数据融合、治理、智能分析，为行业业务协同、公众服务、管理决策数据赋能，全面提升数据资产管理与服务水平。</w:t>
      </w:r>
    </w:p>
    <w:p w:rsidR="00246924" w:rsidRDefault="00246924" w:rsidP="00246924">
      <w:pPr>
        <w:ind w:firstLineChars="200" w:firstLine="420"/>
      </w:pPr>
      <w:r>
        <w:rPr>
          <w:rFonts w:hint="eastAsia"/>
        </w:rPr>
        <w:t>完善行业业务协同联动机制。统一行业信息化标准规范体系，建设省级交通运输信息平台和业务系统，并在全省行业内推广应用；高速公路及各地交通运输主管部门应分别开展交通运输信息平台建设，实现与省级平台互联互通、数据共享，打造业务统一、数据融合、服务智慧的吉林交通运输信息平台，实现业务协同联动，管理高效集约，提升我省交通运输行业数字化、智能化管理水平。将公路、客运枢纽与城市公交、出租车、新业态车辆、社会车辆等设施与装备的交通数据充分融合，积极推动轨道交通、航空和铁路等信息接入，建立服务于行业监管和公众出行的联动数据环境。</w:t>
      </w:r>
    </w:p>
    <w:p w:rsidR="00246924" w:rsidRDefault="00246924" w:rsidP="00246924">
      <w:pPr>
        <w:ind w:firstLineChars="200" w:firstLine="420"/>
      </w:pPr>
      <w:r>
        <w:t>3</w:t>
      </w:r>
    </w:p>
    <w:p w:rsidR="00246924" w:rsidRDefault="00246924" w:rsidP="00246924">
      <w:pPr>
        <w:ind w:firstLineChars="200" w:firstLine="420"/>
      </w:pPr>
      <w:r>
        <w:rPr>
          <w:rFonts w:hint="eastAsia"/>
        </w:rPr>
        <w:t>强化交通运输“互联网</w:t>
      </w:r>
      <w:r>
        <w:t>+”</w:t>
      </w:r>
      <w:r>
        <w:t>监管和服务，提升行业治理能力</w:t>
      </w:r>
    </w:p>
    <w:p w:rsidR="00246924" w:rsidRDefault="00246924" w:rsidP="00246924">
      <w:pPr>
        <w:ind w:firstLineChars="200" w:firstLine="420"/>
      </w:pPr>
      <w:r>
        <w:rPr>
          <w:rFonts w:hint="eastAsia"/>
        </w:rPr>
        <w:t>统筹推动全省交通运输政务管理和服务数字化转型，推进交通运输数字政府部门建设，提高行业治理能力和服务现代化水平。</w:t>
      </w:r>
    </w:p>
    <w:p w:rsidR="00246924" w:rsidRDefault="00246924" w:rsidP="00246924">
      <w:pPr>
        <w:ind w:firstLineChars="200" w:firstLine="420"/>
      </w:pPr>
      <w:r>
        <w:rPr>
          <w:rFonts w:hint="eastAsia"/>
        </w:rPr>
        <w:t>实现政务服务“一网通办”。加快推进交通运输政务服务数字化转型，推动政务服务事项“网上办”“指尖办”“跨省通办”。加强政务信息系统互联互通，加快告知承诺、电子证照、电子签章、电子档案、电子票据在政务服务领域的推广应用，实现行政审批“一部手机、一张身份证”刷脸办理。</w:t>
      </w:r>
    </w:p>
    <w:p w:rsidR="00246924" w:rsidRDefault="00246924" w:rsidP="00246924">
      <w:pPr>
        <w:ind w:firstLineChars="200" w:firstLine="420"/>
      </w:pPr>
      <w:r>
        <w:rPr>
          <w:rFonts w:hint="eastAsia"/>
        </w:rPr>
        <w:t>推进综合交通治理现代化。建设涵盖公路、运输、航道、海事、质量安全监管等各类执法业务的综合监管系统，实现执法全过程留痕、闭环监管和在线查询监管，实现非现场执法全覆盖。强化信用分级分类监管和跨行业、跨领域、跨部门失信联合惩戒机制，提升信用信息应用、共享水平。通过建设海事水运监管、船舶检验、搜寻救助等系统，加强水上安全监管，提高应急救援、公共服务效率。</w:t>
      </w:r>
    </w:p>
    <w:p w:rsidR="00246924" w:rsidRDefault="00246924" w:rsidP="00246924">
      <w:pPr>
        <w:ind w:firstLineChars="200" w:firstLine="420"/>
      </w:pPr>
      <w:r>
        <w:t>4</w:t>
      </w:r>
    </w:p>
    <w:p w:rsidR="00246924" w:rsidRDefault="00246924" w:rsidP="00246924">
      <w:pPr>
        <w:ind w:firstLineChars="200" w:firstLine="420"/>
      </w:pPr>
      <w:r>
        <w:rPr>
          <w:rFonts w:hint="eastAsia"/>
        </w:rPr>
        <w:t>推进新型基础设施建设，提升交通基础设施数字化、智能化水平</w:t>
      </w:r>
    </w:p>
    <w:p w:rsidR="00246924" w:rsidRDefault="00246924" w:rsidP="00246924">
      <w:pPr>
        <w:ind w:firstLineChars="200" w:firstLine="420"/>
      </w:pPr>
      <w:r>
        <w:rPr>
          <w:rFonts w:hint="eastAsia"/>
        </w:rPr>
        <w:t>以新技术赋能交通运输高质量发展，推动大数据、北斗、</w:t>
      </w:r>
      <w:r>
        <w:t>5G</w:t>
      </w:r>
      <w:r>
        <w:t>等新一代信息技术与传统交通基础设施深度融合，推进智慧公路、智慧航道建设，升级基础通信网络设施。对新建交通基础设施项目同步规划、同步设计、同步建设；对已建交通基础设施项目依托提级改造或大中修项目同步设计、同步建设，建立交通基础设施数字化感知</w:t>
      </w:r>
      <w:r>
        <w:t>“</w:t>
      </w:r>
      <w:r>
        <w:t>省地共建共用</w:t>
      </w:r>
      <w:r>
        <w:t>”</w:t>
      </w:r>
      <w:r>
        <w:t>机制，推动交通基础设施数字化转型与智能化升级，提升基础设施安全保障能力和运行效率，打造整体优化、协同融合的现代化交通基础设施体系。</w:t>
      </w:r>
    </w:p>
    <w:p w:rsidR="00246924" w:rsidRDefault="00246924" w:rsidP="00246924">
      <w:pPr>
        <w:ind w:firstLineChars="200" w:firstLine="420"/>
      </w:pPr>
      <w:r>
        <w:rPr>
          <w:rFonts w:hint="eastAsia"/>
        </w:rPr>
        <w:t>推进智慧公路建设。推动大数据、</w:t>
      </w:r>
      <w:r>
        <w:t>AI</w:t>
      </w:r>
      <w:r>
        <w:t>、智能装备等新技术在路网运行监控、管理及服务的创新融合，开展季冻区环境下极端条件道路通行能力监测预警与应急处置技术研究，提升全天候通行能力，促进公路基础设施建管养运全要素周期数字化、智能化发展；升级完善公路交通流量调查系统，深化高速公路电子不停车收费系统（</w:t>
      </w:r>
      <w:r>
        <w:t>ETC</w:t>
      </w:r>
      <w:r>
        <w:t>）应用，建设监测、调度、管控、应急处置及服务一体的智慧路网云控平台；开展高速公路重点工程智慧工地建设，推进</w:t>
      </w:r>
      <w:r>
        <w:t>“</w:t>
      </w:r>
      <w:r>
        <w:t>互联网</w:t>
      </w:r>
      <w:r>
        <w:t>+”</w:t>
      </w:r>
      <w:r>
        <w:t>施工、检测、运营、管理全寿命周期指标参数可监控、可溯源；加强长大桥梁、隧道、高边坡、长大下坡、互通</w:t>
      </w:r>
      <w:r>
        <w:rPr>
          <w:rFonts w:hint="eastAsia"/>
        </w:rPr>
        <w:t>立交等重要路段实时监控与主动安全预警，提升公路安全应急管理水平；推进公路智慧服务区、服务站、公路驿站、司机之家建设；配合做好中俄国际交通运输走廊无人驾驶技术研究。</w:t>
      </w:r>
    </w:p>
    <w:p w:rsidR="00246924" w:rsidRDefault="00246924" w:rsidP="00246924">
      <w:pPr>
        <w:ind w:firstLineChars="200" w:firstLine="420"/>
      </w:pPr>
      <w:r>
        <w:rPr>
          <w:rFonts w:hint="eastAsia"/>
        </w:rPr>
        <w:t>推进智慧航道建设。开展航道视频监控、水文自动监测、智能航标等数字化感知系统试点建设，逐步完善航道测量设施和监测感知网络。推动电子航道图建设与应用，初步形成以电子航道图为支撑的航道数据资产；推进</w:t>
      </w:r>
      <w:r>
        <w:t>BIM</w:t>
      </w:r>
      <w:r>
        <w:t>技术及智能监测技术在航道重点建设工程的应用，搭建航道运行监控平台，建设航道业务协同管理系统，推动航道业务发展转型升级。</w:t>
      </w:r>
    </w:p>
    <w:p w:rsidR="00246924" w:rsidRDefault="00246924" w:rsidP="00246924">
      <w:pPr>
        <w:ind w:firstLineChars="200" w:firstLine="420"/>
      </w:pPr>
      <w:r>
        <w:rPr>
          <w:rFonts w:hint="eastAsia"/>
        </w:rPr>
        <w:t>推进信息基础设施完善升级。基于“一张网”，打通全省交通主管部门业务系统专线网络，加强省地交通应急通信专网建设，完善国省道，特别是重点工程、重点路段“公（网）专（网）结合”的网络接入；升级改造高速公路基础通信网络；推动</w:t>
      </w:r>
      <w:r>
        <w:t>5G</w:t>
      </w:r>
      <w:r>
        <w:t>、</w:t>
      </w:r>
      <w:r>
        <w:t>LTE-V</w:t>
      </w:r>
      <w:r>
        <w:t>等通信设施与交通基础设施的融合发展，积极推进车路协同技术研究及试点部署，开展智能网联实车测试和验证，探索混合交通条件下的道路交通控制技术应用；推进北斗时空信息服务、海事卫星系统、无线异构应急传输专网等先进技术在交通运输领域中的创新性应用。</w:t>
      </w:r>
    </w:p>
    <w:p w:rsidR="00246924" w:rsidRDefault="00246924" w:rsidP="00246924">
      <w:pPr>
        <w:ind w:firstLineChars="200" w:firstLine="420"/>
      </w:pPr>
      <w:r>
        <w:t>5</w:t>
      </w:r>
    </w:p>
    <w:p w:rsidR="00246924" w:rsidRDefault="00246924" w:rsidP="00246924">
      <w:pPr>
        <w:ind w:firstLineChars="200" w:firstLine="420"/>
      </w:pPr>
      <w:r>
        <w:rPr>
          <w:rFonts w:hint="eastAsia"/>
        </w:rPr>
        <w:t>推进一体化智慧出行服务体系建设，提升智慧便民体验感和获得感</w:t>
      </w:r>
    </w:p>
    <w:p w:rsidR="00246924" w:rsidRDefault="00246924" w:rsidP="00246924">
      <w:pPr>
        <w:ind w:firstLineChars="200" w:firstLine="420"/>
      </w:pPr>
      <w:r>
        <w:rPr>
          <w:rFonts w:hint="eastAsia"/>
        </w:rPr>
        <w:t>以“</w:t>
      </w:r>
      <w:r>
        <w:t>123</w:t>
      </w:r>
      <w:r>
        <w:t>出行交通圈</w:t>
      </w:r>
      <w:r>
        <w:t>”</w:t>
      </w:r>
      <w:r>
        <w:t>为目标引领，以提高电子客票使用率为切入点，倡导多方式融合、多主体协同、全链条出行、一体化服务的</w:t>
      </w:r>
      <w:r>
        <w:t>“</w:t>
      </w:r>
      <w:r>
        <w:t>出行即服务</w:t>
      </w:r>
      <w:r>
        <w:t>”</w:t>
      </w:r>
      <w:r>
        <w:t>理念，推动客运枢纽智能化、城市公交智能化，引导市场主体打造跨方式、跨区域旅客运输数字化服务体系。</w:t>
      </w:r>
    </w:p>
    <w:p w:rsidR="00246924" w:rsidRDefault="00246924" w:rsidP="00246924">
      <w:pPr>
        <w:ind w:firstLineChars="200" w:firstLine="420"/>
      </w:pPr>
      <w:r>
        <w:rPr>
          <w:rFonts w:hint="eastAsia"/>
        </w:rPr>
        <w:t>推进一体化智慧出行服务。引导市场主体通过多方合作方式，整合运输线路、站场等各种运输资源，发展基于智能终端一站式出行服务，在不同运输方式间建立共享售取票、乘降、驻车换乘等设备信息机制，发展“指尖出行”，推动不同运输方式间票务数据信息互联共享，力争实现“一站购票、无缝衔接、一票（证）通行”。围绕智慧高速建设，推进服务区智慧服务升级，提升准全天候通行服务能力。</w:t>
      </w:r>
    </w:p>
    <w:p w:rsidR="00246924" w:rsidRDefault="00246924" w:rsidP="00246924">
      <w:pPr>
        <w:ind w:firstLineChars="200" w:firstLine="420"/>
      </w:pPr>
      <w:r>
        <w:rPr>
          <w:rFonts w:hint="eastAsia"/>
        </w:rPr>
        <w:t>推动综合客运枢纽智能化。鼓励建设枢纽内智能导航等设施，提升车辆智能调度能力。推动客运售票、检票、安检、登乘等环节无纸化、无感化，加快道路客运电子客票推广，提升道路客运数字化、智能化水平，实现省内二级以上客运站电子客票全覆盖。</w:t>
      </w:r>
    </w:p>
    <w:p w:rsidR="00246924" w:rsidRDefault="00246924" w:rsidP="00246924">
      <w:pPr>
        <w:ind w:firstLineChars="200" w:firstLine="420"/>
      </w:pPr>
      <w:r>
        <w:rPr>
          <w:rFonts w:hint="eastAsia"/>
        </w:rPr>
        <w:t>推动公交出行智能化。加快推动城市公交、出租车和轨道交通智能管理系统建设，实现运营状态实时监测、智能动态排班、灵活设置线路、电子站牌管理、手机</w:t>
      </w:r>
      <w:r>
        <w:t>APP</w:t>
      </w:r>
      <w:r>
        <w:t>信息查询等功能，强化设施设备运行质量监测，提高运营效率和公众服务能力；推动交通一卡通虚拟卡、二维码等移动支付便民应用，鼓励有条件的地区推行老年人凭身份证、社保卡、老年卡等证件乘坐城市公共汽电车；推进城市轨道交通实现</w:t>
      </w:r>
      <w:r>
        <w:t>“</w:t>
      </w:r>
      <w:r>
        <w:t>一码通行</w:t>
      </w:r>
      <w:r>
        <w:t>”</w:t>
      </w:r>
      <w:r>
        <w:t>、与城市内其他交通方式</w:t>
      </w:r>
      <w:r>
        <w:t>“</w:t>
      </w:r>
      <w:r>
        <w:t>一票联乘</w:t>
      </w:r>
      <w:r>
        <w:t>”</w:t>
      </w:r>
      <w:r>
        <w:t>，提高城市公交无障碍服务能力；推进城市静态交通建设，建立城市停车管理跨部门协调推进机制，推广</w:t>
      </w:r>
      <w:r>
        <w:t>ETC</w:t>
      </w:r>
      <w:r>
        <w:t>涉车场所</w:t>
      </w:r>
      <w:r>
        <w:rPr>
          <w:rFonts w:hint="eastAsia"/>
        </w:rPr>
        <w:t>应用。推进快速智能安检、快速支付等技术应用。农村公交推广应用“交通一卡通”，实现城市公交与农村公交协调发展，满足农村地区人民群众出行多样化需求。</w:t>
      </w:r>
    </w:p>
    <w:p w:rsidR="00246924" w:rsidRDefault="00246924" w:rsidP="00246924">
      <w:pPr>
        <w:ind w:firstLineChars="200" w:firstLine="420"/>
      </w:pPr>
      <w:r>
        <w:t>5</w:t>
      </w:r>
    </w:p>
    <w:p w:rsidR="00246924" w:rsidRDefault="00246924" w:rsidP="00246924">
      <w:pPr>
        <w:ind w:firstLineChars="200" w:firstLine="420"/>
      </w:pPr>
      <w:r>
        <w:rPr>
          <w:rFonts w:hint="eastAsia"/>
        </w:rPr>
        <w:t>推动智慧物流发展，提升货物运输便利化水平</w:t>
      </w:r>
    </w:p>
    <w:p w:rsidR="00246924" w:rsidRDefault="00246924" w:rsidP="00246924">
      <w:pPr>
        <w:ind w:firstLineChars="200" w:firstLine="420"/>
      </w:pPr>
      <w:r>
        <w:rPr>
          <w:rFonts w:hint="eastAsia"/>
        </w:rPr>
        <w:t>以“全球</w:t>
      </w:r>
      <w:r>
        <w:t>123</w:t>
      </w:r>
      <w:r>
        <w:t>快货物流圈</w:t>
      </w:r>
      <w:r>
        <w:t>”</w:t>
      </w:r>
      <w:r>
        <w:t>为目标引领，以我省物流行业</w:t>
      </w:r>
      <w:r>
        <w:t>“</w:t>
      </w:r>
      <w:r>
        <w:t>一核三带四通道</w:t>
      </w:r>
      <w:r>
        <w:t>”</w:t>
      </w:r>
      <w:r>
        <w:t>发展格局为基础，加强政策引导，鼓励多元化市场主体积极参与，建立创新智慧物流运营模式，加强国际物流供应链服务保障，促进交通运输与产业融合发展。</w:t>
      </w:r>
    </w:p>
    <w:p w:rsidR="00246924" w:rsidRDefault="00246924" w:rsidP="00246924">
      <w:pPr>
        <w:ind w:firstLineChars="200" w:firstLine="420"/>
      </w:pPr>
      <w:r>
        <w:rPr>
          <w:rFonts w:hint="eastAsia"/>
        </w:rPr>
        <w:t>优化物流重点领域数字监测。在危险货物道路运输等重点域实现电子运单管理，推动形成“一单到底”的高效多式联运体系。完善网络道路货物运输平台运行监测功能，加强统计分析工作，引导企业提升数据运营质量。推进行业和企业间物流信息资源的高效整合，实现信息共享对接。推动物流枢纽智慧化升级，推进智能仓储配送设施建设。</w:t>
      </w:r>
    </w:p>
    <w:p w:rsidR="00246924" w:rsidRDefault="00246924" w:rsidP="00246924">
      <w:pPr>
        <w:ind w:firstLineChars="200" w:firstLine="420"/>
      </w:pPr>
      <w:r>
        <w:rPr>
          <w:rFonts w:hint="eastAsia"/>
        </w:rPr>
        <w:t>加强国际物流供应链服务保障。推动国际货运电子单证的试点运用，在中俄口岸，促进国际货运单证信息交换。建成吉林省国际货物运输网络平台，实现国际货物运输监管、生产调度、应急预警、联合惩戒等智能化监管与信息共享，在国际物流供应链调度保障、应急供给等方面，提供全链条、一站式的物流信息服务。</w:t>
      </w:r>
    </w:p>
    <w:p w:rsidR="00246924" w:rsidRDefault="00246924" w:rsidP="00246924">
      <w:pPr>
        <w:ind w:firstLineChars="200" w:firstLine="420"/>
      </w:pPr>
      <w:r>
        <w:rPr>
          <w:rFonts w:hint="eastAsia"/>
        </w:rPr>
        <w:t>完善农村物流网络体系。推进农村交通运输综合信息服务平台建设及推广应用，助推农村物流快速发展。以客运站为节点，拓展客运站物流服务功能，完善物流设施设备，推动“客货邮同站”发展；依托建制村</w:t>
      </w:r>
      <w:r>
        <w:t>100%</w:t>
      </w:r>
      <w:r>
        <w:t>通客车的运输网络资源，以客运线路和车辆为载体，推进农村客运、邮政快递、农村物流等既有运输网络融合发展，实现资源共享。畅通农产品出村进城和农资、农村消费品下乡双向流通渠道，满足农民群众</w:t>
      </w:r>
      <w:r>
        <w:t>“</w:t>
      </w:r>
      <w:r>
        <w:t>最初最后一公里</w:t>
      </w:r>
      <w:r>
        <w:t>”</w:t>
      </w:r>
      <w:r>
        <w:t>物流需求。</w:t>
      </w:r>
    </w:p>
    <w:p w:rsidR="00246924" w:rsidRDefault="00246924" w:rsidP="00246924">
      <w:pPr>
        <w:ind w:firstLineChars="200" w:firstLine="420"/>
      </w:pPr>
      <w:r>
        <w:t>7</w:t>
      </w:r>
    </w:p>
    <w:p w:rsidR="00246924" w:rsidRDefault="00246924" w:rsidP="00246924">
      <w:pPr>
        <w:ind w:firstLineChars="200" w:firstLine="420"/>
      </w:pPr>
      <w:r>
        <w:rPr>
          <w:rFonts w:hint="eastAsia"/>
        </w:rPr>
        <w:t>加强交通运输信息基础设施和数据安全防护，构建网络安全保障体系</w:t>
      </w:r>
    </w:p>
    <w:p w:rsidR="00246924" w:rsidRDefault="00246924" w:rsidP="00246924">
      <w:pPr>
        <w:ind w:firstLineChars="200" w:firstLine="420"/>
      </w:pPr>
      <w:r>
        <w:rPr>
          <w:rFonts w:hint="eastAsia"/>
        </w:rPr>
        <w:t>全面提升交通运输关键信息基础设施安全防护能力和水平，完善风险评估及应急处理机制，提升重大风险应对保障能力，确保行业系统安全、设施安全、应用安全、数据安全。</w:t>
      </w:r>
    </w:p>
    <w:p w:rsidR="00246924" w:rsidRDefault="00246924" w:rsidP="00246924">
      <w:pPr>
        <w:ind w:firstLineChars="200" w:firstLine="420"/>
      </w:pPr>
      <w:r>
        <w:rPr>
          <w:rFonts w:hint="eastAsia"/>
        </w:rPr>
        <w:t>提升基础设施安全防护水平。网络安全与信息化项目建设同步规划、同步建设、同步运维，推动安全与应用协调发展。严格落实关键信息基础设施保护制度和网络安全等级保护制度，强化网络安全设计、建设、风险评估和等级保护测评，确保交通行业信息平台、业务系统、网络架构和数据安全可靠。</w:t>
      </w:r>
    </w:p>
    <w:p w:rsidR="00246924" w:rsidRDefault="00246924" w:rsidP="00246924">
      <w:pPr>
        <w:ind w:firstLineChars="200" w:firstLine="420"/>
      </w:pPr>
      <w:r>
        <w:rPr>
          <w:rFonts w:hint="eastAsia"/>
        </w:rPr>
        <w:t>提升关键信息安全保障能力。加强国密安全保护，推进安全可信基础软硬件设施建设，加快商用密码技术应用和安全测评，全面提升关键信息基础设施安全防护能力和水平；建立行业网络安全与态势感知体系，提升网络安全监测预警和态势感知能力，提升数据安全防护能力。加强端到端网络安全和数据保护，对数据资源实行分级分类安全管理，强化公民个人信息安全与保护。</w:t>
      </w:r>
    </w:p>
    <w:p w:rsidR="00246924" w:rsidRDefault="00246924" w:rsidP="00246924">
      <w:pPr>
        <w:ind w:firstLineChars="200" w:firstLine="420"/>
      </w:pPr>
      <w:r>
        <w:rPr>
          <w:rFonts w:hint="eastAsia"/>
        </w:rPr>
        <w:t>加强数据安全与协同治理。建立多源数据汇聚协同治理模式，强化数据安全治理顶层设计，实现数据安全风险总体可控。按照“安全分区、网络专用、横向隔离、纵向认证”原则，实现交通运输通信专网、交通控制网、电子政务网、信息服务网和互联网之间安全风险隔离和信息共享。严格落实数据安全法、网络安全责任制，制定行业网络安全标准，构建与“数字吉林”“数字交通”建设相适应的多元共治、协同管控和有效防范的网络安全机制。</w:t>
      </w:r>
    </w:p>
    <w:p w:rsidR="00246924" w:rsidRDefault="00246924" w:rsidP="00246924">
      <w:pPr>
        <w:ind w:firstLineChars="200" w:firstLine="420"/>
      </w:pPr>
      <w:r>
        <w:t>8</w:t>
      </w:r>
    </w:p>
    <w:p w:rsidR="00246924" w:rsidRDefault="00246924" w:rsidP="00246924">
      <w:pPr>
        <w:ind w:firstLineChars="200" w:firstLine="420"/>
      </w:pPr>
      <w:r>
        <w:rPr>
          <w:rFonts w:hint="eastAsia"/>
        </w:rPr>
        <w:t>规范创新成果应用和信息化建设，健全交通运输标准体系</w:t>
      </w:r>
    </w:p>
    <w:p w:rsidR="00246924" w:rsidRDefault="00246924" w:rsidP="00246924">
      <w:pPr>
        <w:ind w:firstLineChars="200" w:firstLine="420"/>
      </w:pPr>
      <w:r>
        <w:rPr>
          <w:rFonts w:hint="eastAsia"/>
        </w:rPr>
        <w:t>逐步健全吉林省交通运输标准体系，有序推进标准制（修）订工作，发挥标准的载体作用。基于季冻区气候环境特点，加快沿边开放旅游大通道工程设计、建设和运营三个阶段指南的制订，结合吉林省交通强国试点任务、重大工程建养等行业发展需求，积极开展行业地方标准制修订工作。引导社会团体聚焦新一代信息技术、新材料、新能源等前沿科研成果在交通运输领域创新应用，制订一批团体标准。强化部省市县（区）通信接口和协议统筹，编制信息（数据）编码、数据管理、数据字典、交通数据模型、数据交换等规范和办法，实现部、省、市（州）、县（区）交通运输信息资源互联互通和共享应用。</w:t>
      </w:r>
    </w:p>
    <w:p w:rsidR="00246924" w:rsidRDefault="00246924" w:rsidP="00246924">
      <w:pPr>
        <w:ind w:firstLineChars="200" w:firstLine="420"/>
      </w:pPr>
      <w:r>
        <w:rPr>
          <w:rFonts w:hint="eastAsia"/>
        </w:rPr>
        <w:t>吉林省交通运输信息化发展“十四五”规划项目（省级）</w:t>
      </w:r>
    </w:p>
    <w:p w:rsidR="00246924" w:rsidRDefault="00246924" w:rsidP="00246924">
      <w:pPr>
        <w:ind w:firstLineChars="200" w:firstLine="420"/>
      </w:pPr>
      <w:r>
        <w:rPr>
          <w:noProof/>
        </w:rPr>
        <w:drawing>
          <wp:inline distT="0" distB="0" distL="0" distR="0">
            <wp:extent cx="5623560" cy="3195173"/>
            <wp:effectExtent l="19050" t="0" r="0" b="0"/>
            <wp:docPr id="311" name="图片 311" descr="https://p6.itc.cn/q_70/images03/20220705/eb78439c8dbe4df5aca415abc64cf8b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https://p6.itc.cn/q_70/images03/20220705/eb78439c8dbe4df5aca415abc64cf8bb.png"/>
                    <pic:cNvPicPr>
                      <a:picLocks noChangeAspect="1" noChangeArrowheads="1"/>
                    </pic:cNvPicPr>
                  </pic:nvPicPr>
                  <pic:blipFill>
                    <a:blip r:embed="rId5"/>
                    <a:srcRect/>
                    <a:stretch>
                      <a:fillRect/>
                    </a:stretch>
                  </pic:blipFill>
                  <pic:spPr bwMode="auto">
                    <a:xfrm>
                      <a:off x="0" y="0"/>
                      <a:ext cx="5623560" cy="3195173"/>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noProof/>
        </w:rPr>
        <w:drawing>
          <wp:inline distT="0" distB="0" distL="0" distR="0">
            <wp:extent cx="5623560" cy="3020998"/>
            <wp:effectExtent l="19050" t="0" r="0" b="0"/>
            <wp:docPr id="314" name="图片 314" descr="https://p2.itc.cn/q_70/images03/20220705/76731d3ca6404ef0afe63f60bed6fb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descr="https://p2.itc.cn/q_70/images03/20220705/76731d3ca6404ef0afe63f60bed6fb25.png"/>
                    <pic:cNvPicPr>
                      <a:picLocks noChangeAspect="1" noChangeArrowheads="1"/>
                    </pic:cNvPicPr>
                  </pic:nvPicPr>
                  <pic:blipFill>
                    <a:blip r:embed="rId6"/>
                    <a:srcRect/>
                    <a:stretch>
                      <a:fillRect/>
                    </a:stretch>
                  </pic:blipFill>
                  <pic:spPr bwMode="auto">
                    <a:xfrm>
                      <a:off x="0" y="0"/>
                      <a:ext cx="5623560" cy="3020998"/>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noProof/>
        </w:rPr>
        <w:drawing>
          <wp:inline distT="0" distB="0" distL="0" distR="0">
            <wp:extent cx="5623560" cy="3481218"/>
            <wp:effectExtent l="19050" t="0" r="0" b="0"/>
            <wp:docPr id="317" name="图片 317" descr="https://p7.itc.cn/q_70/images03/20220705/cfd31eb7efc947c4b6903f79914dd0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descr="https://p7.itc.cn/q_70/images03/20220705/cfd31eb7efc947c4b6903f79914dd0e7.png"/>
                    <pic:cNvPicPr>
                      <a:picLocks noChangeAspect="1" noChangeArrowheads="1"/>
                    </pic:cNvPicPr>
                  </pic:nvPicPr>
                  <pic:blipFill>
                    <a:blip r:embed="rId7"/>
                    <a:srcRect/>
                    <a:stretch>
                      <a:fillRect/>
                    </a:stretch>
                  </pic:blipFill>
                  <pic:spPr bwMode="auto">
                    <a:xfrm>
                      <a:off x="0" y="0"/>
                      <a:ext cx="5623560" cy="3481218"/>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noProof/>
        </w:rPr>
        <w:drawing>
          <wp:inline distT="0" distB="0" distL="0" distR="0">
            <wp:extent cx="5623560" cy="3259014"/>
            <wp:effectExtent l="19050" t="0" r="0" b="0"/>
            <wp:docPr id="320" name="图片 320" descr="https://p2.itc.cn/q_70/images03/20220705/b70d23e116de416796d2aaa4a8239ec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descr="https://p2.itc.cn/q_70/images03/20220705/b70d23e116de416796d2aaa4a8239ecf.png"/>
                    <pic:cNvPicPr>
                      <a:picLocks noChangeAspect="1" noChangeArrowheads="1"/>
                    </pic:cNvPicPr>
                  </pic:nvPicPr>
                  <pic:blipFill>
                    <a:blip r:embed="rId8"/>
                    <a:srcRect/>
                    <a:stretch>
                      <a:fillRect/>
                    </a:stretch>
                  </pic:blipFill>
                  <pic:spPr bwMode="auto">
                    <a:xfrm>
                      <a:off x="0" y="0"/>
                      <a:ext cx="5623560" cy="3259014"/>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noProof/>
        </w:rPr>
        <w:drawing>
          <wp:inline distT="0" distB="0" distL="0" distR="0">
            <wp:extent cx="5623560" cy="2864171"/>
            <wp:effectExtent l="19050" t="0" r="0" b="0"/>
            <wp:docPr id="323" name="图片 323" descr="https://p8.itc.cn/q_70/images03/20220705/86e7d9525330486d992cd29c3c46009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descr="https://p8.itc.cn/q_70/images03/20220705/86e7d9525330486d992cd29c3c460099.png"/>
                    <pic:cNvPicPr>
                      <a:picLocks noChangeAspect="1" noChangeArrowheads="1"/>
                    </pic:cNvPicPr>
                  </pic:nvPicPr>
                  <pic:blipFill>
                    <a:blip r:embed="rId9"/>
                    <a:srcRect/>
                    <a:stretch>
                      <a:fillRect/>
                    </a:stretch>
                  </pic:blipFill>
                  <pic:spPr bwMode="auto">
                    <a:xfrm>
                      <a:off x="0" y="0"/>
                      <a:ext cx="5623560" cy="2864171"/>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noProof/>
        </w:rPr>
        <w:drawing>
          <wp:inline distT="0" distB="0" distL="0" distR="0">
            <wp:extent cx="5623560" cy="3224318"/>
            <wp:effectExtent l="19050" t="0" r="0" b="0"/>
            <wp:docPr id="326" name="图片 326" descr="https://p5.itc.cn/q_70/images03/20220705/2c2fd5296ca54a9f885ec6ed305930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descr="https://p5.itc.cn/q_70/images03/20220705/2c2fd5296ca54a9f885ec6ed30593014.png"/>
                    <pic:cNvPicPr>
                      <a:picLocks noChangeAspect="1" noChangeArrowheads="1"/>
                    </pic:cNvPicPr>
                  </pic:nvPicPr>
                  <pic:blipFill>
                    <a:blip r:embed="rId10"/>
                    <a:srcRect/>
                    <a:stretch>
                      <a:fillRect/>
                    </a:stretch>
                  </pic:blipFill>
                  <pic:spPr bwMode="auto">
                    <a:xfrm>
                      <a:off x="0" y="0"/>
                      <a:ext cx="5623560" cy="3224318"/>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noProof/>
        </w:rPr>
        <w:drawing>
          <wp:inline distT="0" distB="0" distL="0" distR="0">
            <wp:extent cx="5623560" cy="3500833"/>
            <wp:effectExtent l="19050" t="0" r="0" b="0"/>
            <wp:docPr id="329" name="图片 329" descr="https://p8.itc.cn/q_70/images03/20220705/72bfc45affdf428692a6f025fb1d1aa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descr="https://p8.itc.cn/q_70/images03/20220705/72bfc45affdf428692a6f025fb1d1aaa.png"/>
                    <pic:cNvPicPr>
                      <a:picLocks noChangeAspect="1" noChangeArrowheads="1"/>
                    </pic:cNvPicPr>
                  </pic:nvPicPr>
                  <pic:blipFill>
                    <a:blip r:embed="rId11"/>
                    <a:srcRect/>
                    <a:stretch>
                      <a:fillRect/>
                    </a:stretch>
                  </pic:blipFill>
                  <pic:spPr bwMode="auto">
                    <a:xfrm>
                      <a:off x="0" y="0"/>
                      <a:ext cx="5623560" cy="3500833"/>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noProof/>
        </w:rPr>
        <w:drawing>
          <wp:inline distT="0" distB="0" distL="0" distR="0">
            <wp:extent cx="5623560" cy="2893316"/>
            <wp:effectExtent l="19050" t="0" r="0" b="0"/>
            <wp:docPr id="332" name="图片 332" descr="https://p1.itc.cn/q_70/images03/20220705/e41f727cc36f4d8cb43092fb387178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2" descr="https://p1.itc.cn/q_70/images03/20220705/e41f727cc36f4d8cb43092fb38717877.png"/>
                    <pic:cNvPicPr>
                      <a:picLocks noChangeAspect="1" noChangeArrowheads="1"/>
                    </pic:cNvPicPr>
                  </pic:nvPicPr>
                  <pic:blipFill>
                    <a:blip r:embed="rId12"/>
                    <a:srcRect/>
                    <a:stretch>
                      <a:fillRect/>
                    </a:stretch>
                  </pic:blipFill>
                  <pic:spPr bwMode="auto">
                    <a:xfrm>
                      <a:off x="0" y="0"/>
                      <a:ext cx="5623560" cy="2893316"/>
                    </a:xfrm>
                    <a:prstGeom prst="rect">
                      <a:avLst/>
                    </a:prstGeom>
                    <a:noFill/>
                    <a:ln w="9525">
                      <a:noFill/>
                      <a:miter lim="800000"/>
                      <a:headEnd/>
                      <a:tailEnd/>
                    </a:ln>
                  </pic:spPr>
                </pic:pic>
              </a:graphicData>
            </a:graphic>
          </wp:inline>
        </w:drawing>
      </w:r>
    </w:p>
    <w:p w:rsidR="00246924" w:rsidRDefault="00246924" w:rsidP="00246924">
      <w:pPr>
        <w:ind w:firstLineChars="200" w:firstLine="420"/>
      </w:pPr>
      <w:r>
        <w:rPr>
          <w:noProof/>
        </w:rPr>
        <w:drawing>
          <wp:inline distT="0" distB="0" distL="0" distR="0">
            <wp:extent cx="5623560" cy="3477563"/>
            <wp:effectExtent l="19050" t="0" r="0" b="0"/>
            <wp:docPr id="335" name="图片 335" descr="https://p7.itc.cn/q_70/images03/20220705/c531faab3f2f458ab6fed642f70cfd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descr="https://p7.itc.cn/q_70/images03/20220705/c531faab3f2f458ab6fed642f70cfd70.png"/>
                    <pic:cNvPicPr>
                      <a:picLocks noChangeAspect="1" noChangeArrowheads="1"/>
                    </pic:cNvPicPr>
                  </pic:nvPicPr>
                  <pic:blipFill>
                    <a:blip r:embed="rId13"/>
                    <a:srcRect/>
                    <a:stretch>
                      <a:fillRect/>
                    </a:stretch>
                  </pic:blipFill>
                  <pic:spPr bwMode="auto">
                    <a:xfrm>
                      <a:off x="0" y="0"/>
                      <a:ext cx="5623560" cy="3477563"/>
                    </a:xfrm>
                    <a:prstGeom prst="rect">
                      <a:avLst/>
                    </a:prstGeom>
                    <a:noFill/>
                    <a:ln w="9525">
                      <a:noFill/>
                      <a:miter lim="800000"/>
                      <a:headEnd/>
                      <a:tailEnd/>
                    </a:ln>
                  </pic:spPr>
                </pic:pic>
              </a:graphicData>
            </a:graphic>
          </wp:inline>
        </w:drawing>
      </w:r>
    </w:p>
    <w:p w:rsidR="00246924" w:rsidRDefault="00246924" w:rsidP="00D76FB6">
      <w:pPr>
        <w:jc w:val="right"/>
      </w:pPr>
      <w:r w:rsidRPr="00D76FB6">
        <w:rPr>
          <w:rFonts w:hint="eastAsia"/>
        </w:rPr>
        <w:t>吉林省交通运输厅</w:t>
      </w:r>
      <w:r>
        <w:rPr>
          <w:rFonts w:hint="eastAsia"/>
        </w:rPr>
        <w:t>2022-7-5</w:t>
      </w:r>
    </w:p>
    <w:p w:rsidR="00246924" w:rsidRDefault="00246924" w:rsidP="00247620">
      <w:pPr>
        <w:sectPr w:rsidR="00246924" w:rsidSect="00247620">
          <w:type w:val="continuous"/>
          <w:pgSz w:w="11906" w:h="16838"/>
          <w:pgMar w:top="1644" w:right="1236" w:bottom="1418" w:left="1814" w:header="851" w:footer="907" w:gutter="0"/>
          <w:pgNumType w:start="1"/>
          <w:cols w:space="720"/>
          <w:docGrid w:type="lines" w:linePitch="341" w:charSpace="2373"/>
        </w:sectPr>
      </w:pPr>
    </w:p>
    <w:p w:rsidR="00F557DB" w:rsidRDefault="00F557DB"/>
    <w:sectPr w:rsidR="00F557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6924"/>
    <w:rsid w:val="00246924"/>
    <w:rsid w:val="00F557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69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69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theme" Target="theme/theme1.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884</Words>
  <Characters>5039</Characters>
  <Application>Microsoft Office Word</Application>
  <DocSecurity>0</DocSecurity>
  <Lines>41</Lines>
  <Paragraphs>11</Paragraphs>
  <ScaleCrop>false</ScaleCrop>
  <Company>Sky123.Org</Company>
  <LinksUpToDate>false</LinksUpToDate>
  <CharactersWithSpaces>5912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2022-08-01T07:41:00Z</dcterms:created>
</cp:coreProperties>
</file>