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83A" w:rsidRDefault="009A183A" w:rsidP="00EC4D09">
      <w:pPr>
        <w:pStyle w:val="1"/>
      </w:pPr>
      <w:r w:rsidRPr="00EC4D09">
        <w:rPr>
          <w:rFonts w:hint="eastAsia"/>
        </w:rPr>
        <w:t>未来五年成都交通如何打造？这份“十四五”交通物流规划给出答案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畅达国内主要城市群的“</w:t>
      </w:r>
      <w:r>
        <w:t>137”</w:t>
      </w:r>
      <w:r>
        <w:t>高铁交通圈、</w:t>
      </w:r>
      <w:r>
        <w:t>1</w:t>
      </w:r>
      <w:r>
        <w:t>小时通勤轨道上的都市圈、中心城区绿色出行比例达</w:t>
      </w:r>
      <w:r>
        <w:t>70%</w:t>
      </w:r>
      <w:r>
        <w:t>以上</w:t>
      </w:r>
      <w:r>
        <w:t>……</w:t>
      </w:r>
      <w:r>
        <w:t>近日，由成都市交通运输局、成都市口岸物流办牵头编制的《成都市</w:t>
      </w:r>
      <w:r>
        <w:t>“</w:t>
      </w:r>
      <w:r>
        <w:t>十四五</w:t>
      </w:r>
      <w:r>
        <w:t>”</w:t>
      </w:r>
      <w:r>
        <w:t>综合交通运输和物流业发展规划》（以下简称《规划》）获得成都市政府批复，并于</w:t>
      </w:r>
      <w:r>
        <w:t>6</w:t>
      </w:r>
      <w:r>
        <w:t>月</w:t>
      </w:r>
      <w:r>
        <w:t>27</w:t>
      </w:r>
      <w:r>
        <w:t>日正式印发。从提升枢纽能级，到形成低碳交通运输结构，《规划》的众多细节描绘了成都交通未来五年的新蓝图。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门户枢纽四向通达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基本形成“</w:t>
      </w:r>
      <w:r>
        <w:t>137”</w:t>
      </w:r>
      <w:r>
        <w:t>高铁交通圈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放眼《规划》，提升枢纽能级被放在重要的位置。《规划》提出，在国家综合立体交通网中“四极”之一的作用进一步彰显，泛欧泛亚空港陆港“双枢纽”能级显著提升，基本实现四向综合交通走廊通江达海抵边，基本建成国际性综合交通枢纽城市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具体来说，在航空方面，基本形成协同运行、差异发展的“国际枢纽</w:t>
      </w:r>
      <w:r>
        <w:t>+</w:t>
      </w:r>
      <w:r>
        <w:t>区域枢纽</w:t>
      </w:r>
      <w:r>
        <w:t>”</w:t>
      </w:r>
      <w:r>
        <w:t>两场运行格局，国际（地区）航线达</w:t>
      </w:r>
      <w:r>
        <w:t>140</w:t>
      </w:r>
      <w:r>
        <w:t>条以上，实现国际航空客货运航线稳定运行，航空年旅客吞吐量力争达到</w:t>
      </w:r>
      <w:r>
        <w:t>8000</w:t>
      </w:r>
      <w:r>
        <w:t>万人次、年货邮吞吐量力争达到</w:t>
      </w:r>
      <w:r>
        <w:t>100</w:t>
      </w:r>
      <w:r>
        <w:t>万吨。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铁路方面，则基本建成“</w:t>
      </w:r>
      <w:r>
        <w:t>1</w:t>
      </w:r>
      <w:r>
        <w:t>环</w:t>
      </w:r>
      <w:r>
        <w:t>15</w:t>
      </w:r>
      <w:r>
        <w:t>射</w:t>
      </w:r>
      <w:r>
        <w:t>”</w:t>
      </w:r>
      <w:r>
        <w:t>成都铁路枢纽网络，成都境内铁路里程达到</w:t>
      </w:r>
      <w:r>
        <w:t>1100</w:t>
      </w:r>
      <w:r>
        <w:t>公里；铁路集装箱吞吐量</w:t>
      </w:r>
      <w:r>
        <w:t>120</w:t>
      </w:r>
      <w:r>
        <w:t>万</w:t>
      </w:r>
      <w:r>
        <w:t>TEU</w:t>
      </w:r>
      <w:r>
        <w:t>，国际班列开行数量</w:t>
      </w:r>
      <w:r>
        <w:t>5000</w:t>
      </w:r>
      <w:r>
        <w:t>列；基本形成畅达国内主要城市群的</w:t>
      </w:r>
      <w:r>
        <w:t>“137”</w:t>
      </w:r>
      <w:r>
        <w:t>高铁交通圈（至重庆</w:t>
      </w:r>
      <w:r>
        <w:t>1</w:t>
      </w:r>
      <w:r>
        <w:t>小时，至长江中游、关中、黔中、滇中等周边城市群</w:t>
      </w:r>
      <w:r>
        <w:t>3</w:t>
      </w:r>
      <w:r>
        <w:t>小时，至京津冀、长三角和粤港澳三大经济区</w:t>
      </w:r>
      <w:r>
        <w:t>7</w:t>
      </w:r>
      <w:r>
        <w:t>小时交通圈）；建成</w:t>
      </w:r>
      <w:r>
        <w:t>“4</w:t>
      </w:r>
      <w:r>
        <w:t>主</w:t>
      </w:r>
      <w:r>
        <w:t>3</w:t>
      </w:r>
      <w:r>
        <w:t>辅</w:t>
      </w:r>
      <w:r>
        <w:t>”</w:t>
      </w:r>
      <w:r>
        <w:t>（成都站、成都东站、天府站、简州新城站为主，成都南站、成都西站、十陵南站为辅）铁路客运枢纽体系。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高速公路方面，成都境内高速公路里程将突破</w:t>
      </w:r>
      <w:r>
        <w:t>1500</w:t>
      </w:r>
      <w:r>
        <w:t>公里。要基本建成覆盖全域、畅接全省、辐射中西部、通达全国的</w:t>
      </w:r>
      <w:r>
        <w:t>“3</w:t>
      </w:r>
      <w:r>
        <w:t>绕</w:t>
      </w:r>
      <w:r>
        <w:t>17</w:t>
      </w:r>
      <w:r>
        <w:t>射</w:t>
      </w:r>
      <w:r>
        <w:t>”</w:t>
      </w:r>
      <w:r>
        <w:t>高速公路网，形成</w:t>
      </w:r>
      <w:r>
        <w:t>“3820”</w:t>
      </w:r>
      <w:r>
        <w:t>高速公路交通圈（至重庆</w:t>
      </w:r>
      <w:r>
        <w:t>3</w:t>
      </w:r>
      <w:r>
        <w:t>小时、至周边省会城市</w:t>
      </w:r>
      <w:r>
        <w:t>8</w:t>
      </w:r>
      <w:r>
        <w:t>小时、至北上广</w:t>
      </w:r>
      <w:r>
        <w:t>20</w:t>
      </w:r>
      <w:r>
        <w:t>小时）。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区域交通协同联动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基本实现都市圈</w:t>
      </w:r>
      <w:r>
        <w:t>1</w:t>
      </w:r>
      <w:r>
        <w:t>小时通勤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在区域协同发展方面，《规划》聚焦做强成渝地区双城经济圈“极核”和成都都市圈发展“主干”功能，以“干支联动”引领五大经济区域协同发展，主动下好“先手棋”，加快成德眉资同城化发展，共建“</w:t>
      </w:r>
      <w:r>
        <w:t>1</w:t>
      </w:r>
      <w:r>
        <w:t>轴</w:t>
      </w:r>
      <w:r>
        <w:t>1</w:t>
      </w:r>
      <w:r>
        <w:t>网</w:t>
      </w:r>
      <w:r>
        <w:t>7</w:t>
      </w:r>
      <w:r>
        <w:t>联</w:t>
      </w:r>
      <w:r>
        <w:t>”</w:t>
      </w:r>
      <w:r>
        <w:t>区域协同交通互联一张网。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围绕打造面向世界的成渝地区双城经济圈国际性综合交通枢纽集群，加快建设由“</w:t>
      </w:r>
      <w:r>
        <w:t>4</w:t>
      </w:r>
      <w:r>
        <w:t>条高速铁路</w:t>
      </w:r>
      <w:r>
        <w:t>+3</w:t>
      </w:r>
      <w:r>
        <w:t>条普速铁路</w:t>
      </w:r>
      <w:r>
        <w:t>+4</w:t>
      </w:r>
      <w:r>
        <w:t>条高速公路</w:t>
      </w:r>
      <w:r>
        <w:t>”</w:t>
      </w:r>
      <w:r>
        <w:t>组成的多通道体系，联动实施枢纽协同、结构优化和能力提升行动，实现成渝</w:t>
      </w:r>
      <w:r>
        <w:t>“</w:t>
      </w:r>
      <w:r>
        <w:t>双核</w:t>
      </w:r>
      <w:r>
        <w:t>”</w:t>
      </w:r>
      <w:r>
        <w:t>之间</w:t>
      </w:r>
      <w:r>
        <w:t>1</w:t>
      </w:r>
      <w:r>
        <w:t>小时通达。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在成都都市圈建设方面，《规划》聚焦建设面向未来、面向世界、具有国际竞争力和区域带动力的成都都市圈，做强全省“主干”功能，全面推动成都都市圈交通基础设施同城同网，加快推进干线铁路、城际铁路、市域（郊）铁路、城市轨道四网融合和高速公路、快速路、城市轴线一体化布局，推动打造“</w:t>
      </w:r>
      <w:r>
        <w:t>2</w:t>
      </w:r>
      <w:r>
        <w:t>环</w:t>
      </w:r>
      <w:r>
        <w:t>20</w:t>
      </w:r>
      <w:r>
        <w:t>射</w:t>
      </w:r>
      <w:r>
        <w:t>”</w:t>
      </w:r>
      <w:r>
        <w:t>轨道网、</w:t>
      </w:r>
      <w:r>
        <w:t>“3</w:t>
      </w:r>
      <w:r>
        <w:t>绕</w:t>
      </w:r>
      <w:r>
        <w:t>20</w:t>
      </w:r>
      <w:r>
        <w:t>射</w:t>
      </w:r>
      <w:r>
        <w:t>”</w:t>
      </w:r>
      <w:r>
        <w:t>高速公路网和</w:t>
      </w:r>
      <w:r>
        <w:t>“2</w:t>
      </w:r>
      <w:r>
        <w:t>轴</w:t>
      </w:r>
      <w:r>
        <w:t>31</w:t>
      </w:r>
      <w:r>
        <w:t>线</w:t>
      </w:r>
      <w:r>
        <w:t>”</w:t>
      </w:r>
      <w:r>
        <w:t>城际快速公路网，基本实现都市圈</w:t>
      </w:r>
      <w:r>
        <w:t>1</w:t>
      </w:r>
      <w:r>
        <w:t>小时通勤。做优做强中心城区、城市新区和郊区新城核心功能，加快打造市域</w:t>
      </w:r>
      <w:r>
        <w:t>“3</w:t>
      </w:r>
      <w:r>
        <w:t>环</w:t>
      </w:r>
      <w:r>
        <w:t>19</w:t>
      </w:r>
      <w:r>
        <w:t>射</w:t>
      </w:r>
      <w:r>
        <w:t>8</w:t>
      </w:r>
      <w:r>
        <w:t>联</w:t>
      </w:r>
      <w:r>
        <w:t>”</w:t>
      </w:r>
      <w:r>
        <w:t>快速路网。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lastRenderedPageBreak/>
        <w:t>运输服务便捷高效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新增调整接驳地铁公交</w:t>
      </w:r>
      <w:r>
        <w:t>100</w:t>
      </w:r>
      <w:r>
        <w:t>条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在和市民日常出行息息相关的运输服务方面，《规划》着眼打造高品质的出行服务体系，提升综合客运服务水平则是重要内容之一。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根据规划内容，将推动“互联网</w:t>
      </w:r>
      <w:r>
        <w:t>+</w:t>
      </w:r>
      <w:r>
        <w:t>道路客运</w:t>
      </w:r>
      <w:r>
        <w:t>”</w:t>
      </w:r>
      <w:r>
        <w:t>加速发展，鼓励客运班线小型化、定制化发展，为旅客提供城际</w:t>
      </w:r>
      <w:r>
        <w:t>“</w:t>
      </w:r>
      <w:r>
        <w:t>门到门</w:t>
      </w:r>
      <w:r>
        <w:t>”</w:t>
      </w:r>
      <w:r>
        <w:t>运输服务。在加快铁路通道项目建设的同时，大力推动成都与周边城市及市域内铁路公交化运营，形成市域</w:t>
      </w:r>
      <w:r>
        <w:t>30</w:t>
      </w:r>
      <w:r>
        <w:t>分钟、成都平原城市群及成渝</w:t>
      </w:r>
      <w:r>
        <w:t>1</w:t>
      </w:r>
      <w:r>
        <w:t>小时交通圈。交通的发展事关民生，《规划》提出将优化铁路公交化票制票价，根据客流情况，建立多档次、灵活升降的票价体系，结合客流需求，采用丰富多元的购票方式。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在公共交通出行方面，《规划》则提出，依托轨道交通站点持续优化快速公交、高峰快线、主干公交、社区公交等公交体系，新增及调整公交接驳地铁线路</w:t>
      </w:r>
      <w:r>
        <w:t>100</w:t>
      </w:r>
      <w:r>
        <w:t>条。此外，还将推动提升常规公交准点率，通勤时段常规公交平均车速提高至</w:t>
      </w:r>
      <w:r>
        <w:t>18</w:t>
      </w:r>
      <w:r>
        <w:t>公里</w:t>
      </w:r>
      <w:r>
        <w:t>/</w:t>
      </w:r>
      <w:r>
        <w:t>小时，平均候车时间降低至</w:t>
      </w:r>
      <w:r>
        <w:t>5</w:t>
      </w:r>
      <w:r>
        <w:t>分钟。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绿色低碳智慧安全</w:t>
      </w:r>
    </w:p>
    <w:p w:rsidR="009A183A" w:rsidRDefault="009A183A" w:rsidP="009A183A">
      <w:pPr>
        <w:ind w:firstLineChars="200" w:firstLine="420"/>
      </w:pPr>
      <w:r>
        <w:t>2025</w:t>
      </w:r>
      <w:r>
        <w:t>年底公交出租车全面新能源化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绿色低碳生活方式，是贯彻新发展理念的必然要求。此次《规划》，明确提出要建设低碳环保的交通运输体系。具体来说，到</w:t>
      </w:r>
      <w:r>
        <w:t>2025</w:t>
      </w:r>
      <w:r>
        <w:t>年成都中心城区公共交通占机动化出行分担率达</w:t>
      </w:r>
      <w:r>
        <w:t>60%</w:t>
      </w:r>
      <w:r>
        <w:t>，轨道交通占公共交通分担率达</w:t>
      </w:r>
      <w:r>
        <w:t>65%</w:t>
      </w:r>
      <w:r>
        <w:t>，绿色出行比例达</w:t>
      </w:r>
      <w:r>
        <w:t>70%</w:t>
      </w:r>
      <w:r>
        <w:t>以上，推动实现中心城区建成区平均通勤时间下降到</w:t>
      </w:r>
      <w:r>
        <w:t>35</w:t>
      </w:r>
      <w:r>
        <w:t>分钟左右。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推广新能源车，作为形成低碳交通运输结构的重要举措之一，《规划》提出，</w:t>
      </w:r>
      <w:r>
        <w:t>2025</w:t>
      </w:r>
      <w:r>
        <w:t>年底成都全市公交车（除预留应急运力外）、巡游出租车全面实现新能源化（纯电动或氢能源）。</w:t>
      </w:r>
    </w:p>
    <w:p w:rsidR="009A183A" w:rsidRDefault="009A183A" w:rsidP="009A183A">
      <w:pPr>
        <w:ind w:firstLineChars="200" w:firstLine="420"/>
      </w:pPr>
      <w:r>
        <w:rPr>
          <w:rFonts w:hint="eastAsia"/>
        </w:rPr>
        <w:t>“智慧”是解决未来交通发展的关键。为此，《规划》提出推动高层次科技创新和智慧交通发展。对于广大市民来说，未来成都交通将更智慧，《规划》聚焦一站式、个性化出行服务，试点打造跨方式、跨区域、多模式一体化公众服务场景。持续推广停车场智能化升级改造，完善成都市智能停车综合管理平台，充分挖掘既有停车设施资源潜力，实现停车预约、共享、支付等多种便捷服务。推进成德眉资都市圈、成渝双城联程客运“一卡通”和“一码通”。</w:t>
      </w:r>
    </w:p>
    <w:p w:rsidR="009A183A" w:rsidRDefault="009A183A" w:rsidP="009A183A">
      <w:pPr>
        <w:ind w:firstLineChars="200" w:firstLine="420"/>
      </w:pPr>
    </w:p>
    <w:p w:rsidR="009A183A" w:rsidRDefault="009A183A" w:rsidP="00EC4D09"/>
    <w:p w:rsidR="009A183A" w:rsidRDefault="009A183A" w:rsidP="00EC4D09">
      <w:pPr>
        <w:jc w:val="right"/>
      </w:pPr>
      <w:r w:rsidRPr="00EC4D09">
        <w:rPr>
          <w:rFonts w:hint="eastAsia"/>
        </w:rPr>
        <w:t>封面新闻</w:t>
      </w:r>
      <w:r>
        <w:rPr>
          <w:rFonts w:hint="eastAsia"/>
        </w:rPr>
        <w:t>2022-6-29</w:t>
      </w:r>
    </w:p>
    <w:p w:rsidR="009A183A" w:rsidRDefault="009A183A" w:rsidP="009C7FF4">
      <w:pPr>
        <w:sectPr w:rsidR="009A183A" w:rsidSect="009C7FF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250AE" w:rsidRDefault="00B250AE"/>
    <w:sectPr w:rsidR="00B250AE" w:rsidSect="00CD12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365C" w:rsidRDefault="00D7365C" w:rsidP="005776CF">
      <w:r>
        <w:separator/>
      </w:r>
    </w:p>
  </w:endnote>
  <w:endnote w:type="continuationSeparator" w:id="1">
    <w:p w:rsidR="00D7365C" w:rsidRDefault="00D7365C" w:rsidP="005776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365C" w:rsidRDefault="00D7365C" w:rsidP="005776CF">
      <w:r>
        <w:separator/>
      </w:r>
    </w:p>
  </w:footnote>
  <w:footnote w:type="continuationSeparator" w:id="1">
    <w:p w:rsidR="00D7365C" w:rsidRDefault="00D7365C" w:rsidP="005776C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183A"/>
    <w:rsid w:val="005776CF"/>
    <w:rsid w:val="009A183A"/>
    <w:rsid w:val="00B250AE"/>
    <w:rsid w:val="00CD1250"/>
    <w:rsid w:val="00D73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50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A18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A183A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5776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776C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776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776C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776C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776C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316</Words>
  <Characters>1807</Characters>
  <Application>Microsoft Office Word</Application>
  <DocSecurity>0</DocSecurity>
  <Lines>15</Lines>
  <Paragraphs>4</Paragraphs>
  <ScaleCrop>false</ScaleCrop>
  <Company>Sky123.Org</Company>
  <LinksUpToDate>false</LinksUpToDate>
  <CharactersWithSpaces>2119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Users</cp:lastModifiedBy>
  <cp:revision>2</cp:revision>
  <dcterms:created xsi:type="dcterms:W3CDTF">2022-08-01T07:44:00Z</dcterms:created>
  <dcterms:modified xsi:type="dcterms:W3CDTF">2022-08-17T08:20:00Z</dcterms:modified>
</cp:coreProperties>
</file>