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0D73" w:rsidRDefault="007E0D73" w:rsidP="00CD0F1B">
      <w:pPr>
        <w:pStyle w:val="1"/>
        <w:rPr>
          <w:rFonts w:hint="eastAsia"/>
        </w:rPr>
      </w:pPr>
      <w:r w:rsidRPr="00CD0F1B">
        <w:rPr>
          <w:rFonts w:hint="eastAsia"/>
        </w:rPr>
        <w:t>珠澳深化检验检疫技术合作和科技交流综述</w:t>
      </w:r>
    </w:p>
    <w:p w:rsidR="007E0D73" w:rsidRDefault="007E0D73" w:rsidP="007E0D73">
      <w:pPr>
        <w:ind w:firstLineChars="200" w:firstLine="420"/>
      </w:pPr>
      <w:r>
        <w:t>澳门回归</w:t>
      </w:r>
      <w:r>
        <w:t>15</w:t>
      </w:r>
      <w:r>
        <w:t>年以来，珠澳两地检验检疫机构建立了长期、良好的技术研究合作和科技交流关系，为双方共同做好质量安全监管、疫情疫病防控、生态环境保护等工作提供了强有力的技术支撑，编织起共同保障珠澳民生安全的牢固纽带。</w:t>
      </w:r>
    </w:p>
    <w:p w:rsidR="007E0D73" w:rsidRDefault="007E0D73" w:rsidP="007E0D73">
      <w:pPr>
        <w:ind w:firstLineChars="200" w:firstLine="420"/>
      </w:pPr>
      <w:r>
        <w:t>技术研究合作不断深化</w:t>
      </w:r>
    </w:p>
    <w:p w:rsidR="007E0D73" w:rsidRDefault="007E0D73" w:rsidP="007E0D73">
      <w:pPr>
        <w:ind w:firstLineChars="200" w:firstLine="420"/>
      </w:pPr>
      <w:r>
        <w:t>澳门是国际贸易自由港，动植物卫生管理措施与内地不同，如何做好边境动植物检疫等工作，一直是双边合作交流的热点。多年来，珠海检验检疫局与澳门民政总署建立了领导互访、会议交流、热线沟通、突发事件应对、科研合作等机制，成功妥善处置了澳门</w:t>
      </w:r>
      <w:r>
        <w:t>H5</w:t>
      </w:r>
      <w:r>
        <w:t>禽流感、</w:t>
      </w:r>
      <w:r>
        <w:t>H7N9</w:t>
      </w:r>
      <w:r>
        <w:t>禽流感等一系列突发事件。共同开展《应用噬菌体生物制剂消除供澳水产品中副溶血弧菌的合作研究》《供澳食用贝类及其养殖环境重金属残留监测及相关研究》《澳门进口国外水果有害生物调查研究》《珠澳开展水生动物贝类毒素检测研究合作协议》和《珠澳开展供澳蔬菜农药残留调查</w:t>
      </w:r>
      <w:r>
        <w:rPr>
          <w:rFonts w:hint="eastAsia"/>
        </w:rPr>
        <w:t>研究合作协议》</w:t>
      </w:r>
      <w:r>
        <w:t>5</w:t>
      </w:r>
      <w:r>
        <w:t>项科技合作，多方合作完成</w:t>
      </w:r>
      <w:r>
        <w:t>“</w:t>
      </w:r>
      <w:r>
        <w:t>澳门植物检疫性有害生物名录制定</w:t>
      </w:r>
      <w:r>
        <w:t>”</w:t>
      </w:r>
      <w:r>
        <w:t>，为跨境合作提供了基础技术数据支持。</w:t>
      </w:r>
    </w:p>
    <w:p w:rsidR="007E0D73" w:rsidRDefault="007E0D73" w:rsidP="007E0D73">
      <w:pPr>
        <w:ind w:firstLineChars="200" w:firstLine="420"/>
      </w:pPr>
      <w:r>
        <w:t>珠海局不断拓展与澳门特别行政区在科技项目方面的合作，积极推动该局科技人员就涉澳卫生检疫、动植物检疫和食品安全控制等方面申报科研课题，自</w:t>
      </w:r>
      <w:r>
        <w:t>2000</w:t>
      </w:r>
      <w:r>
        <w:t>年以来，珠海局涉澳研究项目</w:t>
      </w:r>
      <w:r>
        <w:t>26</w:t>
      </w:r>
      <w:r>
        <w:t>项，总投入经费</w:t>
      </w:r>
      <w:r>
        <w:t>213.5</w:t>
      </w:r>
      <w:r>
        <w:t>万元。其中国家质检总局</w:t>
      </w:r>
      <w:r>
        <w:t>9</w:t>
      </w:r>
      <w:r>
        <w:t>项，珠海市立项</w:t>
      </w:r>
      <w:r>
        <w:t>1</w:t>
      </w:r>
      <w:r>
        <w:t>项，该局自行立项</w:t>
      </w:r>
      <w:r>
        <w:t>16</w:t>
      </w:r>
      <w:r>
        <w:t>项，研究内容涵盖了通关管理、卫生检疫、植物检疫、动物检疫等方面。</w:t>
      </w:r>
    </w:p>
    <w:p w:rsidR="007E0D73" w:rsidRDefault="007E0D73" w:rsidP="007E0D73">
      <w:pPr>
        <w:ind w:firstLineChars="200" w:firstLine="420"/>
      </w:pPr>
      <w:r>
        <w:t>科技学术交流更趋密切</w:t>
      </w:r>
    </w:p>
    <w:p w:rsidR="007E0D73" w:rsidRDefault="007E0D73" w:rsidP="007E0D73">
      <w:pPr>
        <w:ind w:firstLineChars="200" w:firstLine="420"/>
      </w:pPr>
      <w:r>
        <w:t>在科技交流上，立足毗邻澳门的优势，珠海局和澳门方面的日常交流频繁。</w:t>
      </w:r>
    </w:p>
    <w:p w:rsidR="007E0D73" w:rsidRDefault="007E0D73" w:rsidP="007E0D73">
      <w:pPr>
        <w:ind w:firstLineChars="200" w:firstLine="420"/>
      </w:pPr>
      <w:r>
        <w:t>该局充分利用自身的技术优势，帮助澳门方面建立澳门化验所和食品安全检测实验室，帮助澳门民政总署培训相关技术人员，协助解决检疫技术疑难问题；与澳门贸易投资局、经济局积极磋商，推进实验室检测技术合作。该局技术中心动物检疫实验室自</w:t>
      </w:r>
      <w:r>
        <w:t>2004</w:t>
      </w:r>
      <w:r>
        <w:t>年以来，多次承担澳门民政总署化验所检验人员的禽流感</w:t>
      </w:r>
      <w:r>
        <w:t>H5</w:t>
      </w:r>
      <w:r>
        <w:t>抗体血凝实验、</w:t>
      </w:r>
      <w:r>
        <w:t>H5</w:t>
      </w:r>
      <w:r>
        <w:t>病毒核酸荧光</w:t>
      </w:r>
      <w:r>
        <w:t>RT-PCR</w:t>
      </w:r>
      <w:r>
        <w:t>检测的培训，并先后</w:t>
      </w:r>
      <w:r>
        <w:t>4</w:t>
      </w:r>
      <w:r>
        <w:t>次参与其组织的实验室间比对实验。</w:t>
      </w:r>
    </w:p>
    <w:p w:rsidR="007E0D73" w:rsidRDefault="007E0D73" w:rsidP="007E0D73">
      <w:pPr>
        <w:ind w:firstLineChars="200" w:firstLine="420"/>
      </w:pPr>
      <w:r>
        <w:t>在卫生检疫方面，双方联合开展珠澳跨境工业区医学媒介生物本底调查，自</w:t>
      </w:r>
      <w:r>
        <w:t>2011</w:t>
      </w:r>
      <w:r>
        <w:t>年起，澳门卫生局委托珠海国际旅行卫生保健中心进行医学媒介生物鉴定服务，为两地公共卫生工作提供技术支撑。</w:t>
      </w:r>
    </w:p>
    <w:p w:rsidR="007E0D73" w:rsidRDefault="007E0D73" w:rsidP="007E0D73">
      <w:pPr>
        <w:ind w:firstLineChars="200" w:firstLine="420"/>
      </w:pPr>
      <w:r>
        <w:t>在食品安全方面，积极与澳门民政总署开展技术法规交流合作，就澳门《食品安全法》及配套规定开展交流，组织对供澳企业进行宣传。</w:t>
      </w:r>
    </w:p>
    <w:p w:rsidR="007E0D73" w:rsidRDefault="007E0D73" w:rsidP="007E0D73">
      <w:pPr>
        <w:ind w:firstLineChars="200" w:firstLine="420"/>
      </w:pPr>
      <w:r>
        <w:t>除了日常的交流探讨，粤港澳深珠卫生检疫、动植物检疫与食品安全控制会议（简称五地会议）是珠澳科技交流与合作的主要平台。自</w:t>
      </w:r>
      <w:r>
        <w:t>2004</w:t>
      </w:r>
      <w:r>
        <w:t>年加入五地会议以来，珠海局积极发挥五地会议平台作用，认真组织参加每年一度的五地会议，就</w:t>
      </w:r>
      <w:r>
        <w:t>120</w:t>
      </w:r>
      <w:r>
        <w:t>个议题进行交流，并达成多项共识。最近，珠海局刚刚承办</w:t>
      </w:r>
      <w:r>
        <w:t>2014</w:t>
      </w:r>
      <w:r>
        <w:t>年五地会议，并选派</w:t>
      </w:r>
      <w:r>
        <w:t>34</w:t>
      </w:r>
      <w:r>
        <w:t>名代表参加，提交</w:t>
      </w:r>
      <w:r>
        <w:t>16</w:t>
      </w:r>
      <w:r>
        <w:t>个议题进行会议交流。</w:t>
      </w:r>
    </w:p>
    <w:p w:rsidR="007E0D73" w:rsidRDefault="007E0D73" w:rsidP="007E0D73">
      <w:pPr>
        <w:ind w:firstLineChars="200" w:firstLine="420"/>
      </w:pPr>
      <w:r>
        <w:t>技术支撑作用充分发挥</w:t>
      </w:r>
    </w:p>
    <w:p w:rsidR="007E0D73" w:rsidRDefault="007E0D73" w:rsidP="007E0D73">
      <w:pPr>
        <w:ind w:firstLineChars="200" w:firstLine="420"/>
      </w:pPr>
      <w:r>
        <w:t>珠澳检验检疫科技交流与合作，为双方共同做好食品农产品质量安全监管、疫病疫情防控、生态环境保护等提供了有力的技术支撑，推动了珠澳检验检疫水平的提升。</w:t>
      </w:r>
    </w:p>
    <w:p w:rsidR="007E0D73" w:rsidRDefault="007E0D73" w:rsidP="007E0D73">
      <w:pPr>
        <w:ind w:firstLineChars="200" w:firstLine="420"/>
      </w:pPr>
      <w:r>
        <w:t>2009</w:t>
      </w:r>
      <w:r>
        <w:t>年</w:t>
      </w:r>
      <w:r>
        <w:t>2</w:t>
      </w:r>
      <w:r>
        <w:t>月，珠海局接到澳门民政总署通报，称从</w:t>
      </w:r>
      <w:r>
        <w:t>1</w:t>
      </w:r>
      <w:r>
        <w:t>月下旬起，陆续有澳门市民投诉购买的鸡蛋在煮熟后发现蛋黄坚韧、有弹性，怀疑是人造鸡蛋。珠海局立即与澳门民政总署的官员共同探讨</w:t>
      </w:r>
      <w:r>
        <w:t>“</w:t>
      </w:r>
      <w:r>
        <w:t>问题鸡蛋</w:t>
      </w:r>
      <w:r>
        <w:t>”</w:t>
      </w:r>
      <w:r>
        <w:t>产生的原因，组织专家会议和技术研究，通过多项试验排除了</w:t>
      </w:r>
      <w:r>
        <w:t>“</w:t>
      </w:r>
      <w:r>
        <w:t>人造鸡蛋</w:t>
      </w:r>
      <w:r>
        <w:t>”</w:t>
      </w:r>
      <w:r>
        <w:t>可能性，证明</w:t>
      </w:r>
      <w:r>
        <w:t>“</w:t>
      </w:r>
      <w:r>
        <w:t>问题鸡蛋</w:t>
      </w:r>
      <w:r>
        <w:t>”</w:t>
      </w:r>
      <w:r>
        <w:t>与鸡蛋在生产、运输、贮存过程中温度变化的影响有关，是在运输过程中反复冻融形成的。随后，澳门民政总署召开新闻发布会，以珠海局提供的模拟实验视频和实验鸡蛋，有力解释了弹性蛋黄的成因，证明输澳鸡蛋的安全卫生。</w:t>
      </w:r>
    </w:p>
    <w:p w:rsidR="007E0D73" w:rsidRDefault="007E0D73" w:rsidP="007E0D73">
      <w:pPr>
        <w:ind w:firstLineChars="200" w:firstLine="420"/>
      </w:pPr>
      <w:smartTag w:uri="urn:schemas-microsoft-com:office:smarttags" w:element="chsdate">
        <w:smartTagPr>
          <w:attr w:name="IsROCDate" w:val="False"/>
          <w:attr w:name="IsLunarDate" w:val="False"/>
          <w:attr w:name="Day" w:val="7"/>
          <w:attr w:name="Month" w:val="4"/>
          <w:attr w:name="Year" w:val="2013"/>
        </w:smartTagPr>
        <w:r>
          <w:t>2013</w:t>
        </w:r>
        <w:r>
          <w:t>年</w:t>
        </w:r>
        <w:r>
          <w:t>4</w:t>
        </w:r>
        <w:r>
          <w:t>月</w:t>
        </w:r>
        <w:r>
          <w:t>7</w:t>
        </w:r>
        <w:r>
          <w:t>日</w:t>
        </w:r>
      </w:smartTag>
      <w:r>
        <w:t>，珠海局承办国家质检总局、香港食物及卫生局、澳门民政总署就</w:t>
      </w:r>
      <w:r>
        <w:t>“</w:t>
      </w:r>
      <w:r>
        <w:t>供港澳活禽及食用禽产品</w:t>
      </w:r>
      <w:r>
        <w:t>H7N9</w:t>
      </w:r>
      <w:r>
        <w:t>禽流感防控</w:t>
      </w:r>
      <w:r>
        <w:t>”</w:t>
      </w:r>
      <w:r>
        <w:t>议题召开三地会议。</w:t>
      </w:r>
      <w:smartTag w:uri="urn:schemas-microsoft-com:office:smarttags" w:element="chsdate">
        <w:smartTagPr>
          <w:attr w:name="IsROCDate" w:val="False"/>
          <w:attr w:name="IsLunarDate" w:val="False"/>
          <w:attr w:name="Day" w:val="18"/>
          <w:attr w:name="Month" w:val="4"/>
          <w:attr w:name="Year" w:val="2014"/>
        </w:smartTagPr>
        <w:r>
          <w:t>4</w:t>
        </w:r>
        <w:r>
          <w:t>月</w:t>
        </w:r>
        <w:r>
          <w:t>18</w:t>
        </w:r>
        <w:r>
          <w:t>日</w:t>
        </w:r>
      </w:smartTag>
      <w:r>
        <w:t>，珠海局举行珠澳</w:t>
      </w:r>
      <w:r>
        <w:t>H7N9</w:t>
      </w:r>
      <w:r>
        <w:t>禽流感防控检测合作交流会议，与澳门卫生局就珠澳口岸卫生检疫和传染病防控工作的各项联防联控机制进行了研讨，并当场制定了双方通讯联络机制。这些合作有效地帮助双方成功防控</w:t>
      </w:r>
      <w:r>
        <w:t>H7N9</w:t>
      </w:r>
      <w:r>
        <w:t>禽流感疫情。</w:t>
      </w:r>
    </w:p>
    <w:p w:rsidR="007E0D73" w:rsidRDefault="007E0D73" w:rsidP="007E0D73">
      <w:pPr>
        <w:ind w:firstLineChars="200" w:firstLine="420"/>
        <w:rPr>
          <w:rFonts w:hint="eastAsia"/>
        </w:rPr>
      </w:pPr>
      <w:r>
        <w:t>近年来，珠海局推动组建了促进珠澳合作检验检疫政策咨询委员会，推动跨境跨界合作，与澳门民政总署、澳门中联办、澳门全国人大代表、政协委员、蔬菜批发商会、澳门南粤公司建立日常沟通、协调机制。同时，积极开展宣传，邀请澳门有关部门、新闻媒体参观辖区农产品种植基地和加工企业，向澳门业界、供澳贸易企业、媒体宣传检验检疫政策及相关工作，提升了澳门市民对供澳农产品的信心。</w:t>
      </w:r>
    </w:p>
    <w:p w:rsidR="007E0D73" w:rsidRDefault="007E0D73" w:rsidP="007E0D73">
      <w:pPr>
        <w:ind w:firstLineChars="200" w:firstLine="420"/>
        <w:rPr>
          <w:rFonts w:hint="eastAsia"/>
        </w:rPr>
      </w:pPr>
      <w:r w:rsidRPr="00CD0F1B">
        <w:rPr>
          <w:rFonts w:hint="eastAsia"/>
        </w:rPr>
        <w:t>记者</w:t>
      </w:r>
      <w:r w:rsidRPr="00CD0F1B">
        <w:t xml:space="preserve"> </w:t>
      </w:r>
      <w:r w:rsidRPr="00CD0F1B">
        <w:t>闵</w:t>
      </w:r>
      <w:r w:rsidRPr="00CD0F1B">
        <w:t xml:space="preserve"> </w:t>
      </w:r>
      <w:r w:rsidRPr="00CD0F1B">
        <w:t>剑</w:t>
      </w:r>
    </w:p>
    <w:p w:rsidR="007E0D73" w:rsidRDefault="007E0D73" w:rsidP="007E0D73">
      <w:pPr>
        <w:ind w:firstLineChars="200" w:firstLine="420"/>
        <w:jc w:val="right"/>
        <w:rPr>
          <w:rFonts w:hint="eastAsia"/>
        </w:rPr>
      </w:pPr>
      <w:r>
        <w:rPr>
          <w:rFonts w:hint="eastAsia"/>
        </w:rPr>
        <w:t>中国国门时报</w:t>
      </w:r>
      <w:smartTag w:uri="urn:schemas-microsoft-com:office:smarttags" w:element="chsdate">
        <w:smartTagPr>
          <w:attr w:name="IsROCDate" w:val="False"/>
          <w:attr w:name="IsLunarDate" w:val="False"/>
          <w:attr w:name="Day" w:val="17"/>
          <w:attr w:name="Month" w:val="12"/>
          <w:attr w:name="Year" w:val="2014"/>
        </w:smartTagPr>
        <w:r>
          <w:rPr>
            <w:rFonts w:hint="eastAsia"/>
          </w:rPr>
          <w:t>2014-12-17</w:t>
        </w:r>
      </w:smartTag>
    </w:p>
    <w:p w:rsidR="007E0D73" w:rsidRDefault="007E0D73" w:rsidP="00B70CF0">
      <w:pPr>
        <w:sectPr w:rsidR="007E0D73" w:rsidSect="00B70CF0">
          <w:type w:val="continuous"/>
          <w:pgSz w:w="11906" w:h="16838" w:code="9"/>
          <w:pgMar w:top="1644" w:right="1236" w:bottom="1418" w:left="1814" w:header="851" w:footer="907" w:gutter="0"/>
          <w:pgNumType w:start="1"/>
          <w:cols w:space="425"/>
          <w:docGrid w:type="lines" w:linePitch="341" w:charSpace="2373"/>
        </w:sectPr>
      </w:pPr>
    </w:p>
    <w:p w:rsidR="007E5547" w:rsidRDefault="007E5547"/>
    <w:sectPr w:rsidR="007E554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E0D73"/>
    <w:rsid w:val="007E0D73"/>
    <w:rsid w:val="007E55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E0D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E0D73"/>
    <w:rPr>
      <w:rFonts w:ascii="黑体" w:eastAsia="黑体" w:hAnsi="宋体" w:cs="Times New Roman"/>
      <w:b/>
      <w:kern w:val="36"/>
      <w:sz w:val="32"/>
      <w:szCs w:val="32"/>
    </w:rPr>
  </w:style>
  <w:style w:type="paragraph" w:customStyle="1" w:styleId="Char2CharCharChar">
    <w:name w:val="Char2 Char Char Char"/>
    <w:basedOn w:val="a"/>
    <w:autoRedefine/>
    <w:rsid w:val="007E0D7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278</Words>
  <Characters>1590</Characters>
  <Application>Microsoft Office Word</Application>
  <DocSecurity>0</DocSecurity>
  <Lines>13</Lines>
  <Paragraphs>3</Paragraphs>
  <ScaleCrop>false</ScaleCrop>
  <Company>微软中国</Company>
  <LinksUpToDate>false</LinksUpToDate>
  <CharactersWithSpaces>1865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2022-07-20T09:16:00Z</dcterms:created>
</cp:coreProperties>
</file>