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4A3F" w:rsidRDefault="000D4A3F" w:rsidP="009C39EF">
      <w:pPr>
        <w:pStyle w:val="1"/>
        <w:spacing w:line="254" w:lineRule="auto"/>
        <w:rPr>
          <w:rFonts w:hint="eastAsia"/>
        </w:rPr>
      </w:pPr>
      <w:r w:rsidRPr="00484217">
        <w:t>33项措施优化营商环境 北京海关力促跨境贸易便利化</w:t>
      </w:r>
    </w:p>
    <w:p w:rsidR="000D4A3F" w:rsidRDefault="000D4A3F" w:rsidP="000D4A3F">
      <w:pPr>
        <w:spacing w:line="254" w:lineRule="auto"/>
        <w:ind w:firstLineChars="200" w:firstLine="420"/>
      </w:pPr>
      <w:r>
        <w:rPr>
          <w:rFonts w:hint="eastAsia"/>
        </w:rPr>
        <w:t>为促进跨境贸易便利化，北京海关日前会同天津海关及两地检验检疫、口岸等部门，制定《关于进一步优化营商环境提升京津跨境贸易便利化若干措施的公告》，聚焦降本提效、便利透明，推出了</w:t>
      </w:r>
      <w:r>
        <w:t>33</w:t>
      </w:r>
      <w:r>
        <w:t>项具体措施，助力北京营商环境进一步优化。当前，正值深化关检融合和跨境贸易便利化提升的改革叠加期，北京海关在税收、归类及审价预裁定、查验及单证等方面积极开展改革，为企业提供实实在在的便利。</w:t>
      </w:r>
    </w:p>
    <w:p w:rsidR="000D4A3F" w:rsidRDefault="000D4A3F" w:rsidP="000D4A3F">
      <w:pPr>
        <w:spacing w:line="254" w:lineRule="auto"/>
        <w:ind w:firstLineChars="200" w:firstLine="420"/>
      </w:pPr>
      <w:r>
        <w:rPr>
          <w:rFonts w:hint="eastAsia"/>
        </w:rPr>
        <w:t>全国海关通关一体化实施以来，北京海关大力推广使用汇总征税，由原来的“逐票审核、先税后放”变为</w:t>
      </w:r>
      <w:r>
        <w:t xml:space="preserve"> “</w:t>
      </w:r>
      <w:r>
        <w:t>先放后税，汇总缴税</w:t>
      </w:r>
      <w:r>
        <w:t>”</w:t>
      </w:r>
      <w:r>
        <w:t>，即在货物到港操作预录入报关单时选择</w:t>
      </w:r>
      <w:r>
        <w:t>“</w:t>
      </w:r>
      <w:r>
        <w:t>汇总征税</w:t>
      </w:r>
      <w:r>
        <w:t>”</w:t>
      </w:r>
      <w:r>
        <w:t>模式，海关系统自动进行保函额度扣减等操作，随即便可完成货物放行环节，通关时间大幅缩短，最快可以实现当日申报当日放行。</w:t>
      </w:r>
      <w:r>
        <w:t>2018</w:t>
      </w:r>
      <w:r>
        <w:t>年第一季度，北京海关累计受理汇总征税报关单</w:t>
      </w:r>
      <w:r>
        <w:t>3.46</w:t>
      </w:r>
      <w:r>
        <w:t>万票，同比增长</w:t>
      </w:r>
      <w:r>
        <w:t>5.8</w:t>
      </w:r>
      <w:r>
        <w:t>倍，税款占一季度税收入库的比重达</w:t>
      </w:r>
      <w:r>
        <w:t>17.34%</w:t>
      </w:r>
      <w:r>
        <w:t>。</w:t>
      </w:r>
    </w:p>
    <w:p w:rsidR="000D4A3F" w:rsidRDefault="000D4A3F" w:rsidP="000D4A3F">
      <w:pPr>
        <w:spacing w:line="254" w:lineRule="auto"/>
        <w:ind w:firstLineChars="200" w:firstLine="420"/>
      </w:pPr>
      <w:r>
        <w:rPr>
          <w:rFonts w:hint="eastAsia"/>
        </w:rPr>
        <w:t>去年底，《中华人民共和国海关预裁定管理暂行办法》正式实施以来，不仅简化了通关流程，提高了通关效率，更重要的是，帮助企业提前准确了解关税政策及涉税要素，有效评估交易成本，降低不合规申报的风险，进一步增强企业对进出口贸易活动的可预期性。</w:t>
      </w:r>
    </w:p>
    <w:p w:rsidR="000D4A3F" w:rsidRDefault="000D4A3F" w:rsidP="000D4A3F">
      <w:pPr>
        <w:spacing w:line="254" w:lineRule="auto"/>
        <w:ind w:firstLineChars="200" w:firstLine="420"/>
      </w:pPr>
      <w:r>
        <w:rPr>
          <w:rFonts w:hint="eastAsia"/>
        </w:rPr>
        <w:t>根据《暂行办法》，企业可以根据业务情况向主管地海关申请归类、价格、原产地相关事项的预裁定。以价格预裁定为例，完税价格申报的准确性、合规性审核一直是海关工作的重点。在预裁定制度实施以前，海关对企业申报的进口价格存疑，会开展相应的审价程序对货物的完税价格进行确定，但这种估价程序往往需要较长时间，对于企业通关时间影响很大。实施价格预裁定制度后，在货物实际进出口前，海关应申请人的申请，对其进口货物完税价格相关要素和估价方法进行裁定，提高了企业申报的准确定、合规性，减轻通关压力，可有效提高进口环节的可预期性，便于企业实现物流各环节准确衔接，。</w:t>
      </w:r>
    </w:p>
    <w:p w:rsidR="000D4A3F" w:rsidRDefault="000D4A3F" w:rsidP="000D4A3F">
      <w:pPr>
        <w:spacing w:line="254" w:lineRule="auto"/>
        <w:ind w:firstLineChars="200" w:firstLine="420"/>
      </w:pPr>
      <w:r>
        <w:rPr>
          <w:rFonts w:hint="eastAsia"/>
        </w:rPr>
        <w:t>壳牌（中国）有限公司是荷兰皇家壳牌集团在中国设立的全资子公司，业务范围包括上游业务、下游业务以及项目与技术业务。公司进口业务主要涉及从境外进口润滑油成品油等产。日常业务操作中，该公司需向境外相关实体支付包括进口润滑油产品在内的相关产品所含的专利、商标等特许权使用费。由于涉及的通关口岸较多，在以往的进口申报中，壳牌公司多次被不同海关问询此部分费用的界定和申报情况，由于特许权使用费是否计入完税价格的认定技术性比较强，壳牌公司在通关和后续沟通的过程中需要投入相当的资源进行细致的沟通与交流，对通关速度、资金成本以及内部各部门资源协调提出了挑战。</w:t>
      </w:r>
    </w:p>
    <w:p w:rsidR="000D4A3F" w:rsidRDefault="000D4A3F" w:rsidP="000D4A3F">
      <w:pPr>
        <w:spacing w:line="254" w:lineRule="auto"/>
        <w:ind w:firstLineChars="200" w:firstLine="420"/>
      </w:pPr>
      <w:r>
        <w:rPr>
          <w:rFonts w:hint="eastAsia"/>
        </w:rPr>
        <w:t>海关预裁定管理暂行办法出台后，壳牌公司迅速针对上述特许权使用费的认定问题向北京海关关税处提出了价格预裁定申请并及时获得了北京海关关税处就壳牌公司上述申请的预裁定。由于预裁定适用于所有关区，现在该公司在通关过程中如果受到特许权使用费的问询，就可以凭借预裁定迅速通关。</w:t>
      </w:r>
    </w:p>
    <w:p w:rsidR="000D4A3F" w:rsidRDefault="000D4A3F" w:rsidP="000D4A3F">
      <w:pPr>
        <w:spacing w:line="254" w:lineRule="auto"/>
        <w:ind w:firstLineChars="200" w:firstLine="420"/>
      </w:pPr>
      <w:r>
        <w:rPr>
          <w:rFonts w:hint="eastAsia"/>
        </w:rPr>
        <w:t>壳牌公司负责人表示：“作为在世界范围内开展业务的国际知名的跨国公司，我们对不同国家的通关制度有深刻的体验。归类、价格、原产地三项内容具有较强的技术性和专业性，在通关过程中通常需要较长的时间来澄清和确认，而其认定的过程和结果会对企业的经营效率和成本造成相当的影响。中国海关的预裁定制度可以在通关前由专业的审核机构就相关事项关进行专业的认定，为企业通关的预测性、可确定性提供法律保障，有利于企业商业决策的前瞻性和业务运营的有效性。”</w:t>
      </w:r>
    </w:p>
    <w:p w:rsidR="000D4A3F" w:rsidRDefault="000D4A3F" w:rsidP="000D4A3F">
      <w:pPr>
        <w:spacing w:line="254" w:lineRule="auto"/>
        <w:ind w:firstLineChars="200" w:firstLine="420"/>
      </w:pPr>
      <w:r>
        <w:rPr>
          <w:rFonts w:hint="eastAsia"/>
        </w:rPr>
        <w:t>企业表示，预裁定一方面使企业申报更加合规，成本得到有效节约，另一方面一份预裁定全国海关有效，海关执法统一性更强，为现场海关查验及后期稽查提供有力依据，大大了提高通关的可预期性。</w:t>
      </w:r>
    </w:p>
    <w:p w:rsidR="000D4A3F" w:rsidRDefault="000D4A3F" w:rsidP="000D4A3F">
      <w:pPr>
        <w:spacing w:line="254" w:lineRule="auto"/>
        <w:ind w:firstLineChars="200" w:firstLine="420"/>
      </w:pPr>
      <w:r>
        <w:rPr>
          <w:rFonts w:hint="eastAsia"/>
        </w:rPr>
        <w:t>机构改革后，海关与原检验检疫部门深度合作，对企业货物通关的报关、报检作业流程，进行了深度优化，把通关单电子数据联网核查从电子审单环节后移至报关单放行环节。通关模式实现了由以往的报关报检“串联式”作业变为“并联式”作业，给进出口企业开展跨境贸易带来了更多便利。</w:t>
      </w:r>
    </w:p>
    <w:p w:rsidR="000D4A3F" w:rsidRDefault="000D4A3F" w:rsidP="000D4A3F">
      <w:pPr>
        <w:spacing w:line="254" w:lineRule="auto"/>
        <w:ind w:firstLineChars="200" w:firstLine="420"/>
      </w:pPr>
      <w:r>
        <w:rPr>
          <w:rFonts w:hint="eastAsia"/>
        </w:rPr>
        <w:t>同时，京津两地海关实施“一次申报，分步处置”通关模式和提前报关模式。以往货物通关需要在货物抵港后进行申报、审单、查验、征税、放行，如今当货物还没有抵达港口时，企业就可以提前向海关办理申报、纳税手续，货物抵港后办理查验放行手续。</w:t>
      </w:r>
    </w:p>
    <w:p w:rsidR="000D4A3F" w:rsidRDefault="000D4A3F" w:rsidP="000D4A3F">
      <w:pPr>
        <w:spacing w:line="254" w:lineRule="auto"/>
        <w:ind w:firstLineChars="200" w:firstLine="420"/>
        <w:rPr>
          <w:rFonts w:hint="eastAsia"/>
        </w:rPr>
      </w:pPr>
      <w:r>
        <w:rPr>
          <w:rFonts w:hint="eastAsia"/>
        </w:rPr>
        <w:t>为进一步深化海关通关作业无纸化改革，今年</w:t>
      </w:r>
      <w:r>
        <w:t>4</w:t>
      </w:r>
      <w:r>
        <w:t>月</w:t>
      </w:r>
      <w:r>
        <w:t>9</w:t>
      </w:r>
      <w:r>
        <w:t>日海关总署在以往简化出口退税手续的基础上，决定全面取消打印出口货物报关单证明联（出口退税专用），企业办理退税需要的出口报关单结关信息电子数据今后将由海关总署直接向国家税务总局传输，</w:t>
      </w:r>
      <w:r>
        <w:t>“</w:t>
      </w:r>
      <w:r>
        <w:t>数据多跑路，企业少跑腿</w:t>
      </w:r>
      <w:r>
        <w:t>”</w:t>
      </w:r>
      <w:r>
        <w:t>，切实减轻企业负担。</w:t>
      </w:r>
    </w:p>
    <w:p w:rsidR="000D4A3F" w:rsidRDefault="000D4A3F" w:rsidP="000D4A3F">
      <w:pPr>
        <w:spacing w:line="254" w:lineRule="auto"/>
        <w:ind w:firstLineChars="200" w:firstLine="420"/>
        <w:rPr>
          <w:rFonts w:hint="eastAsia"/>
        </w:rPr>
      </w:pPr>
      <w:r w:rsidRPr="006D7C14">
        <w:t>记者</w:t>
      </w:r>
      <w:r w:rsidRPr="006D7C14">
        <w:t xml:space="preserve"> </w:t>
      </w:r>
      <w:r w:rsidRPr="006D7C14">
        <w:t>陆敏</w:t>
      </w:r>
    </w:p>
    <w:p w:rsidR="000D4A3F" w:rsidRDefault="000D4A3F" w:rsidP="000D4A3F">
      <w:pPr>
        <w:spacing w:line="254" w:lineRule="auto"/>
        <w:ind w:firstLineChars="200" w:firstLine="420"/>
        <w:jc w:val="right"/>
      </w:pPr>
      <w:r w:rsidRPr="006D7C14">
        <w:t>经济参考网</w:t>
      </w:r>
      <w:r>
        <w:rPr>
          <w:rFonts w:hint="eastAsia"/>
        </w:rPr>
        <w:t>2018-5-9</w:t>
      </w:r>
    </w:p>
    <w:p w:rsidR="000D4A3F" w:rsidRDefault="000D4A3F" w:rsidP="00E15CF4">
      <w:pPr>
        <w:sectPr w:rsidR="000D4A3F" w:rsidSect="00E15CF4">
          <w:type w:val="continuous"/>
          <w:pgSz w:w="11906" w:h="16838" w:code="9"/>
          <w:pgMar w:top="1644" w:right="1236" w:bottom="1418" w:left="1814" w:header="851" w:footer="907" w:gutter="0"/>
          <w:pgNumType w:start="1"/>
          <w:cols w:space="425"/>
          <w:docGrid w:type="lines" w:linePitch="341" w:charSpace="2373"/>
        </w:sectPr>
      </w:pPr>
    </w:p>
    <w:p w:rsidR="00CD10C0" w:rsidRDefault="00CD10C0"/>
    <w:sectPr w:rsidR="00CD10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4A3F"/>
    <w:rsid w:val="000D4A3F"/>
    <w:rsid w:val="00CD10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D4A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D4A3F"/>
    <w:rPr>
      <w:rFonts w:ascii="黑体" w:eastAsia="黑体" w:hAnsi="宋体" w:cs="Times New Roman"/>
      <w:b/>
      <w:kern w:val="36"/>
      <w:sz w:val="32"/>
      <w:szCs w:val="32"/>
    </w:rPr>
  </w:style>
  <w:style w:type="paragraph" w:customStyle="1" w:styleId="Char2CharCharChar">
    <w:name w:val="Char2 Char Char Char"/>
    <w:basedOn w:val="a"/>
    <w:autoRedefine/>
    <w:rsid w:val="000D4A3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1625</Characters>
  <Application>Microsoft Office Word</Application>
  <DocSecurity>0</DocSecurity>
  <Lines>13</Lines>
  <Paragraphs>3</Paragraphs>
  <ScaleCrop>false</ScaleCrop>
  <Company>微软中国</Company>
  <LinksUpToDate>false</LinksUpToDate>
  <CharactersWithSpaces>1907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2022-07-14T06:13:00Z</dcterms:created>
</cp:coreProperties>
</file>