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B83" w:rsidRDefault="00BC6B83" w:rsidP="00A1230A">
      <w:pPr>
        <w:pStyle w:val="1"/>
        <w:spacing w:line="242" w:lineRule="auto"/>
      </w:pPr>
      <w:r w:rsidRPr="00384F65">
        <w:rPr>
          <w:rFonts w:hint="eastAsia"/>
        </w:rPr>
        <w:t>咸阳市长武县市场监管局“学用结合”推动党史学习教育走深走实</w:t>
      </w:r>
    </w:p>
    <w:p w:rsidR="00BC6B83" w:rsidRDefault="00BC6B83" w:rsidP="00BC6B83">
      <w:pPr>
        <w:spacing w:line="242" w:lineRule="auto"/>
        <w:ind w:firstLineChars="200" w:firstLine="420"/>
        <w:jc w:val="left"/>
      </w:pPr>
      <w:r>
        <w:rPr>
          <w:rFonts w:hint="eastAsia"/>
        </w:rPr>
        <w:t>自党史学习教育开展以来，长武县市场监管局牢牢把握群众最关心、最直接、最现实的利益问题，将群众的操心事、烦心事、揪心事当头等事情来抓，利用多种学习方式，把党史学习教育作为“必修课”，学在日常、学在实处，积极开展“我为群众办实事”实践活动，切实把党史学习教育成果转化为办实事、开新局的强大力量，采取过硬的措施，推动党史学习教育走深走实。</w:t>
      </w:r>
    </w:p>
    <w:p w:rsidR="00BC6B83" w:rsidRDefault="00BC6B83" w:rsidP="00BC6B83">
      <w:pPr>
        <w:spacing w:line="242" w:lineRule="auto"/>
        <w:ind w:firstLineChars="200" w:firstLine="420"/>
        <w:jc w:val="left"/>
      </w:pPr>
      <w:r>
        <w:t>一是持续加强疫情防控。强化疫情防控药械监管，开展新冠病毒疫苗、核酸检测试剂质量安全专项监督检查，全力配合卫健部门做好环境、产品及从业人员的核酸检测工作。按照</w:t>
      </w:r>
      <w:r>
        <w:t>“</w:t>
      </w:r>
      <w:r>
        <w:t>来源可溯、去向可追、问题可查</w:t>
      </w:r>
      <w:r>
        <w:t>”</w:t>
      </w:r>
      <w:r>
        <w:t>的要求，全面开展进口冷链食品和仓储场所大排查大整治，对全县冷链食品经营单位全覆盖监管，全覆盖落实消毒杀菌，做到了底子清、情况明、件件检。</w:t>
      </w:r>
    </w:p>
    <w:p w:rsidR="00BC6B83" w:rsidRDefault="00BC6B83" w:rsidP="00BC6B83">
      <w:pPr>
        <w:spacing w:line="242" w:lineRule="auto"/>
        <w:ind w:firstLineChars="200" w:firstLine="420"/>
        <w:jc w:val="left"/>
      </w:pPr>
      <w:r>
        <w:t>二是着力优化营商环境。全面落实权责清单和负面清单，大力推行</w:t>
      </w:r>
      <w:r>
        <w:t>“</w:t>
      </w:r>
      <w:r>
        <w:t>证照分离</w:t>
      </w:r>
      <w:r>
        <w:t>”“</w:t>
      </w:r>
      <w:r>
        <w:t>多证合一</w:t>
      </w:r>
      <w:r>
        <w:t>”“</w:t>
      </w:r>
      <w:r>
        <w:t>证照联办</w:t>
      </w:r>
      <w:r>
        <w:t>”</w:t>
      </w:r>
      <w:r>
        <w:t>，持续推行个体工商户</w:t>
      </w:r>
      <w:r>
        <w:t>“</w:t>
      </w:r>
      <w:r>
        <w:t>秒批</w:t>
      </w:r>
      <w:r>
        <w:t>”</w:t>
      </w:r>
      <w:r>
        <w:t>登记，深化</w:t>
      </w:r>
      <w:r>
        <w:t>“</w:t>
      </w:r>
      <w:r>
        <w:t>双随机、一公开</w:t>
      </w:r>
      <w:r>
        <w:t>”</w:t>
      </w:r>
      <w:r>
        <w:t>监管。全面规范企业名称登记，开展对失联空挂市场主体清理工作，不断提高市场主体登记注册质量。</w:t>
      </w:r>
    </w:p>
    <w:p w:rsidR="00BC6B83" w:rsidRDefault="00BC6B83" w:rsidP="00BC6B83">
      <w:pPr>
        <w:spacing w:line="242" w:lineRule="auto"/>
        <w:ind w:firstLineChars="200" w:firstLine="420"/>
        <w:jc w:val="left"/>
      </w:pPr>
      <w:r>
        <w:t>三是牢牢守住安全底线。组织召开全县食品安全会议，全面部署推动食品安全监管工作，印发《落实改革和完善疫苗管理体制的若干措施》和《关于全面加强药品安全监管工作的意见》，切实加强药械化监管，以</w:t>
      </w:r>
      <w:r>
        <w:t>“</w:t>
      </w:r>
      <w:r>
        <w:t>消除事故隐患，牢筑安全防线</w:t>
      </w:r>
      <w:r>
        <w:t>”</w:t>
      </w:r>
      <w:r>
        <w:t>为主题，深入排查食品、药品、特种设备、工业产品质量安全风险隐患，市场安全稳中向好。</w:t>
      </w:r>
    </w:p>
    <w:p w:rsidR="00BC6B83" w:rsidRDefault="00BC6B83" w:rsidP="00BC6B83">
      <w:pPr>
        <w:spacing w:line="242" w:lineRule="auto"/>
        <w:ind w:firstLineChars="200" w:firstLine="420"/>
        <w:jc w:val="left"/>
      </w:pPr>
      <w:r>
        <w:t>四是有效规范市场环境。扎实开展反垄断与反不正当竞争、商标广告专利、合同、网络等监管执法，组织开展特殊药品和医疗器械质量专项检查、不合格化妆品清查、口罩质量监管专项整治行动，强化节日期间群众生活必需品、疫情防控主要用品和涉及民生领域的电水气暖、物业服务等方面价格及收费政策执行情况督查，深入开展消费者权益保障行动，依法保护消费者权益，截止目前，转供电方面共出动检察人员</w:t>
      </w:r>
      <w:r>
        <w:t>102</w:t>
      </w:r>
      <w:r>
        <w:t>人次，检查转供电主体</w:t>
      </w:r>
      <w:r>
        <w:t>86</w:t>
      </w:r>
      <w:r>
        <w:t>户，查处违规收费金额</w:t>
      </w:r>
      <w:r>
        <w:t>27.19</w:t>
      </w:r>
      <w:r>
        <w:t>万元，退还终端用户</w:t>
      </w:r>
      <w:r>
        <w:t>114</w:t>
      </w:r>
      <w:r>
        <w:t>户</w:t>
      </w:r>
      <w:r>
        <w:t>27.19</w:t>
      </w:r>
      <w:r>
        <w:t>万元；查出民生领域重点案件</w:t>
      </w:r>
      <w:r>
        <w:t>4</w:t>
      </w:r>
      <w:r>
        <w:t>件，有效维护了市场公</w:t>
      </w:r>
      <w:r>
        <w:rPr>
          <w:rFonts w:hint="eastAsia"/>
        </w:rPr>
        <w:t>平竞争环境。</w:t>
      </w:r>
    </w:p>
    <w:p w:rsidR="00BC6B83" w:rsidRDefault="00BC6B83" w:rsidP="00BC6B83">
      <w:pPr>
        <w:spacing w:line="242" w:lineRule="auto"/>
        <w:ind w:firstLineChars="200" w:firstLine="420"/>
        <w:jc w:val="right"/>
      </w:pPr>
      <w:r w:rsidRPr="00384F65">
        <w:rPr>
          <w:rFonts w:hint="eastAsia"/>
        </w:rPr>
        <w:t>长武县市场监管局</w:t>
      </w:r>
      <w:r>
        <w:rPr>
          <w:rFonts w:hint="eastAsia"/>
        </w:rPr>
        <w:t>2021-8-13</w:t>
      </w:r>
    </w:p>
    <w:p w:rsidR="00BC6B83" w:rsidRPr="00384F65" w:rsidRDefault="00BC6B83" w:rsidP="00BC6B83">
      <w:pPr>
        <w:spacing w:line="242" w:lineRule="auto"/>
        <w:ind w:firstLineChars="200" w:firstLine="420"/>
        <w:jc w:val="left"/>
      </w:pPr>
    </w:p>
    <w:p w:rsidR="00BC6B83" w:rsidRDefault="00BC6B83" w:rsidP="006023FD">
      <w:pPr>
        <w:sectPr w:rsidR="00BC6B83" w:rsidSect="006023F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3BAB" w:rsidRDefault="001E3BAB"/>
    <w:sectPr w:rsidR="001E3B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C6B83"/>
    <w:rsid w:val="001E3BAB"/>
    <w:rsid w:val="00BC6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C6B8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C6B8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>Microsoft</Company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2022-05-27T11:01:00Z</dcterms:created>
</cp:coreProperties>
</file>