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7328" w:rsidRDefault="006C7328" w:rsidP="002C1EE7">
      <w:pPr>
        <w:pStyle w:val="1"/>
        <w:rPr>
          <w:rFonts w:hint="eastAsia"/>
        </w:rPr>
      </w:pPr>
      <w:r w:rsidRPr="002C1EE7">
        <w:rPr>
          <w:rFonts w:hint="eastAsia"/>
        </w:rPr>
        <w:t>访调对接：矛盾纠纷多元化解的天津探索</w:t>
      </w:r>
    </w:p>
    <w:p w:rsidR="006C7328" w:rsidRDefault="006C7328" w:rsidP="006C7328">
      <w:pPr>
        <w:ind w:firstLineChars="200" w:firstLine="420"/>
      </w:pPr>
      <w:r>
        <w:rPr>
          <w:rFonts w:hint="eastAsia"/>
        </w:rPr>
        <w:t>访调对接是指将信访案件中的一部分适合调解的案件导入到人民调解中来，从而实现信访案件的分流和有效化解的机制和做法。在现实中，主要有信访事项人民调解委员会（简称访调委）来具体承担相关职能。这是地方在贯彻中央“加强预防和化解社会矛盾机制建设”要求、探索多元化化解社会冲突的一种做法。天津市自</w:t>
      </w:r>
      <w:r>
        <w:t>2015</w:t>
      </w:r>
      <w:r>
        <w:t>年</w:t>
      </w:r>
      <w:r>
        <w:t>4</w:t>
      </w:r>
      <w:r>
        <w:t>月开始探索在全市推进访调对接机制，取得了一些宝贵的经验，具有典型的社会治理创新意义。</w:t>
      </w:r>
    </w:p>
    <w:p w:rsidR="006C7328" w:rsidRDefault="006C7328" w:rsidP="006C7328">
      <w:pPr>
        <w:ind w:firstLineChars="200" w:firstLine="420"/>
      </w:pPr>
      <w:r>
        <w:rPr>
          <w:rFonts w:hint="eastAsia"/>
        </w:rPr>
        <w:t>一、访调对接的必要性与可行性</w:t>
      </w:r>
    </w:p>
    <w:p w:rsidR="006C7328" w:rsidRDefault="006C7328" w:rsidP="006C7328">
      <w:pPr>
        <w:ind w:firstLineChars="200" w:firstLine="420"/>
      </w:pPr>
      <w:r>
        <w:rPr>
          <w:rFonts w:hint="eastAsia"/>
        </w:rPr>
        <w:t>访调对接的必要性主要基于信访渠道长期处于高压状态，迫待创新的冲突管理形式。多年来，由于各种复杂因素的影响，不少群众习惯性选择信访途径来反映问题和表达诉求，将信访作为化解冲突最主要的途径，包括天津在内的多地信访部门承担了极其大量的矛盾纠纷化解工作，长期超负荷运行，不仅使相关工作人员疲惫不堪，一些案件得不到及时化解，也容易导致冲突能量的沉淀、扩散和升级，这种状况迫切需要其他渠道来分流和分担信访的冲突化解压力。</w:t>
      </w:r>
    </w:p>
    <w:p w:rsidR="006C7328" w:rsidRDefault="006C7328" w:rsidP="006C7328">
      <w:pPr>
        <w:ind w:firstLineChars="200" w:firstLine="420"/>
      </w:pPr>
      <w:r>
        <w:rPr>
          <w:rFonts w:hint="eastAsia"/>
        </w:rPr>
        <w:t>人民调解作为具有中国特色的一种纠纷化解机制，具有承接信访冲突化解压力的巨大潜力。这种潜力基于信访与调解的三类不同：从功能上看，信访重在冲突流转，调解重在冲突化解；从属性上看，信访是国家机关的一种行政活动，具有权威性，调解是来自民间力量主导的冲突化解活动，具有自愿性和自治性；从特点上看，信访比较强调规则和程序，比较严肃和正式，调解比较强调合意的达成，比较灵活，更加强调平等对话和协商。正是基于上述显著的不同，调解能够成功地化解一些在信访渠道中难以化解的冲突，从而有效地分流信访的冲突化解压力。</w:t>
      </w:r>
    </w:p>
    <w:p w:rsidR="006C7328" w:rsidRDefault="006C7328" w:rsidP="006C7328">
      <w:pPr>
        <w:ind w:firstLineChars="200" w:firstLine="420"/>
      </w:pPr>
      <w:r>
        <w:rPr>
          <w:rFonts w:hint="eastAsia"/>
        </w:rPr>
        <w:t>二、访调对接的天津做法与成效</w:t>
      </w:r>
    </w:p>
    <w:p w:rsidR="006C7328" w:rsidRDefault="006C7328" w:rsidP="006C7328">
      <w:pPr>
        <w:ind w:firstLineChars="200" w:firstLine="420"/>
      </w:pPr>
      <w:r>
        <w:rPr>
          <w:rFonts w:hint="eastAsia"/>
        </w:rPr>
        <w:t>这些年来，在天津市委政法委的领导下，市综治办牵头，市司法局、市信访办密切配合，组织开展“访调对接”工作。通过政府购买服务，为访调委运转提供了财政支持；通过推荐遴选得力的领导者，为访调委提供人才基础；通过完善制度规则，为访调对接工作的规范化提供保障。</w:t>
      </w:r>
    </w:p>
    <w:p w:rsidR="006C7328" w:rsidRDefault="006C7328" w:rsidP="006C7328">
      <w:pPr>
        <w:ind w:firstLineChars="200" w:firstLine="420"/>
      </w:pPr>
      <w:r>
        <w:rPr>
          <w:rFonts w:hint="eastAsia"/>
        </w:rPr>
        <w:t>市访调委自身也积极探索创新，将自身的职能界定为人民调解、法律咨询、法治宣传、心理抚慰、情绪疏导等五个方面。根据工作开展需要，建立完善</w:t>
      </w:r>
      <w:r>
        <w:t>17</w:t>
      </w:r>
      <w:r>
        <w:t>项制度规定，形成了一系列彼此衔接的机制，比如：访调委与信访办密切配合，建立完善了案件导入机制，使符合要求的案件能够顺利进入访调对接程序；特别强调调解员与案件当事人的情感沟通，建立了情绪抚慰机制，为当事人发泄情绪、表达委屈，提供可能和空间；着力提高调解员素质，完善冲突化解机制，通过不断提高调解员</w:t>
      </w:r>
      <w:r>
        <w:t>“</w:t>
      </w:r>
      <w:r>
        <w:t>查</w:t>
      </w:r>
      <w:r>
        <w:t>”</w:t>
      </w:r>
      <w:r>
        <w:t>事实、</w:t>
      </w:r>
      <w:r>
        <w:t>“</w:t>
      </w:r>
      <w:r>
        <w:t>定</w:t>
      </w:r>
      <w:r>
        <w:t>”</w:t>
      </w:r>
      <w:r>
        <w:t>责任、</w:t>
      </w:r>
      <w:r>
        <w:t>“</w:t>
      </w:r>
      <w:r>
        <w:t>调</w:t>
      </w:r>
      <w:r>
        <w:t>”</w:t>
      </w:r>
      <w:r>
        <w:t>方案的能力，提升案件办理能力和优化办理效果；建立</w:t>
      </w:r>
      <w:r>
        <w:rPr>
          <w:rFonts w:hint="eastAsia"/>
        </w:rPr>
        <w:t>外脑利用机制，通过建立专业智力人才库，与其他专业调解委员会合作，将问题板块化，从而强化访调委的专业能力；通过制定规范的文书和程序，完善案件转出机制，引导这些难以在本渠道化解的案件转入到其他合法的更适合的渠道去化解。</w:t>
      </w:r>
    </w:p>
    <w:p w:rsidR="006C7328" w:rsidRDefault="006C7328" w:rsidP="006C7328">
      <w:pPr>
        <w:ind w:firstLineChars="200" w:firstLine="420"/>
      </w:pPr>
      <w:r>
        <w:rPr>
          <w:rFonts w:hint="eastAsia"/>
        </w:rPr>
        <w:t>在上述努力下，天津市访调委取得了优异的工作成绩。截至</w:t>
      </w:r>
      <w:r>
        <w:t>2018</w:t>
      </w:r>
      <w:r>
        <w:t>年</w:t>
      </w:r>
      <w:r>
        <w:t>6</w:t>
      </w:r>
      <w:r>
        <w:t>月，市访调委共受理市信访办导入信访事项</w:t>
      </w:r>
      <w:r>
        <w:t>581</w:t>
      </w:r>
      <w:r>
        <w:t>件，成功调解率达</w:t>
      </w:r>
      <w:r>
        <w:t>97</w:t>
      </w:r>
      <w:r>
        <w:t>．</w:t>
      </w:r>
      <w:r>
        <w:t>8</w:t>
      </w:r>
      <w:r>
        <w:t>％，群众满意率</w:t>
      </w:r>
      <w:r>
        <w:t>100</w:t>
      </w:r>
      <w:r>
        <w:t>％，收到当事人送的锦旗</w:t>
      </w:r>
      <w:r>
        <w:t>25</w:t>
      </w:r>
      <w:r>
        <w:t>面。全市信访总量和重复访案件不断下降。</w:t>
      </w:r>
      <w:r>
        <w:t>2016</w:t>
      </w:r>
      <w:r>
        <w:t>年市信访办申报的</w:t>
      </w:r>
      <w:r>
        <w:t>“</w:t>
      </w:r>
      <w:r>
        <w:t>访调对接项目</w:t>
      </w:r>
      <w:r>
        <w:t>”</w:t>
      </w:r>
      <w:r>
        <w:t>荣获全国</w:t>
      </w:r>
      <w:r>
        <w:t>“</w:t>
      </w:r>
      <w:r>
        <w:t>法治信访进步奖</w:t>
      </w:r>
      <w:r>
        <w:t>”</w:t>
      </w:r>
      <w:r>
        <w:t>。</w:t>
      </w:r>
      <w:r>
        <w:t>2018</w:t>
      </w:r>
      <w:r>
        <w:t>年，市访调委主任郑宗瑶被司法部评为</w:t>
      </w:r>
      <w:r>
        <w:t>“</w:t>
      </w:r>
      <w:r>
        <w:t>全国人民调解专家</w:t>
      </w:r>
      <w:r>
        <w:t>”</w:t>
      </w:r>
      <w:r>
        <w:t>。</w:t>
      </w:r>
    </w:p>
    <w:p w:rsidR="006C7328" w:rsidRDefault="006C7328" w:rsidP="006C7328">
      <w:pPr>
        <w:ind w:firstLineChars="200" w:firstLine="420"/>
      </w:pPr>
      <w:r>
        <w:rPr>
          <w:rFonts w:hint="eastAsia"/>
        </w:rPr>
        <w:t>三、访调对接的社会治理创新意义</w:t>
      </w:r>
    </w:p>
    <w:p w:rsidR="006C7328" w:rsidRDefault="006C7328" w:rsidP="006C7328">
      <w:pPr>
        <w:ind w:firstLineChars="200" w:firstLine="420"/>
      </w:pPr>
      <w:r>
        <w:rPr>
          <w:rFonts w:hint="eastAsia"/>
        </w:rPr>
        <w:t>访调对接是天津市落实中央精神、创新“枫桥经验”多元化化解社会冲突的创新举措，其社会治理创新意义主要可以归结为三个方面。</w:t>
      </w:r>
    </w:p>
    <w:p w:rsidR="006C7328" w:rsidRDefault="006C7328" w:rsidP="006C7328">
      <w:pPr>
        <w:ind w:firstLineChars="200" w:firstLine="420"/>
      </w:pPr>
      <w:r>
        <w:rPr>
          <w:rFonts w:hint="eastAsia"/>
        </w:rPr>
        <w:t>（一）访调对接实现了不同冲突化解渠道间的协同合作。社会冲突治理体系的有效发挥作用，不仅需要在整体职能框架内进行明确的科学的职能划分，也需要针对一些纠纷的性质和特点，在不同组织体系间进行有效的协同和合作。长期以来，我国在政府不同部门分工和专业化能力提升方面做了很多工作，成效显著，但部门间的协作显得不足不畅。具体到社会冲突治理而言，信访渠道是近年来民众最经常采取的冲突表达渠道之一，大量的冲突案件集聚于此，大量冲突能量的积累和相互碰撞，促进了冲突表达者之间的相互学习和冲突能量之间的相互蔓延。“访调对接”相当于在信访和调解两个大的冲突化解渠道之间打通了一条“运河”，使很多适合调解的冲突能量导入到了人民调解这个渠道中，从而结构性缓解了信访渠道大量冲突能量的长期拥堵和冲突处置压力，实现了两大主干渠道明确分工基础上的密切协作，更有效地促进了案件的解决和社会和谐，减少政府冲突治理成本和民众的诉求表达成本。</w:t>
      </w:r>
    </w:p>
    <w:p w:rsidR="006C7328" w:rsidRDefault="006C7328" w:rsidP="006C7328">
      <w:pPr>
        <w:ind w:firstLineChars="200" w:firstLine="420"/>
      </w:pPr>
      <w:r>
        <w:rPr>
          <w:rFonts w:hint="eastAsia"/>
        </w:rPr>
        <w:t>（二）访调对接增强了政府社会冲突治理的弹性和韧性。国家正式渠道的冲突治理，能够为整体社会冲突能量结构性疏解提供框架内支撑，是社会冲突治理的中枢力量。但是当前冲突的能量规模大、波动大、形式多、变化多，这与正式国家机关的法定性、固定化等特点形成了一种矛盾关系。访调对接机制并不属于国家法定的冲突治理框架，但可以通过政府购买服务等形式来获得国家财政支持。社会冲突多，机制有效，政府就可以多购买一些服务；反之，就可以少购买，甚至转而购买其他社会组织的服务，这就增强了政府行为的弹性和韧性，能够更灵活高效地适应新时代的社会冲突治理。</w:t>
      </w:r>
    </w:p>
    <w:p w:rsidR="006C7328" w:rsidRDefault="006C7328" w:rsidP="006C7328">
      <w:pPr>
        <w:ind w:firstLineChars="200" w:firstLine="420"/>
        <w:rPr>
          <w:rFonts w:hint="eastAsia"/>
        </w:rPr>
      </w:pPr>
      <w:r>
        <w:rPr>
          <w:rFonts w:hint="eastAsia"/>
        </w:rPr>
        <w:t>（三）访调对接扩宽了人民调解发挥冲突化解作用的新形式。人民调解作为民间化解冲突的一种方式，具有广泛的群众基础，具备完备的组织体系，更灵活，也更节约，是具有中国特色、符合中国现实国情的一种冲突化解方式。传统的人民调解主要是在司法行政机关的领导下开展工作，重点聚焦于基层社会中一些比较琐碎的冲突事务。访调对接机制使人民调解能够嵌入到信访大框架中，不仅承担传统的冲突不太尖锐的案件，也承担很多历史遗留案件、复杂案件、难点案件，扩大了调解作用发挥的空间，是一种发挥调解功能的新形式。这种形式的探索有利于充分挖掘人民调解的潜力，有利于通过多元化的形式来引导、化解和转化社会冲突能量，节约民众诉求表达成本，增加民众冲突化解渠道，增强政府公共冲突治理的针对性和有效性，从而为建设社会主义和谐社会贡献力量。</w:t>
      </w:r>
    </w:p>
    <w:p w:rsidR="006C7328" w:rsidRDefault="006C7328" w:rsidP="002C1EE7">
      <w:pPr>
        <w:ind w:firstLine="420"/>
        <w:jc w:val="right"/>
        <w:rPr>
          <w:rFonts w:hint="eastAsia"/>
        </w:rPr>
      </w:pPr>
      <w:r w:rsidRPr="002C1EE7">
        <w:rPr>
          <w:rFonts w:hint="eastAsia"/>
        </w:rPr>
        <w:t>天津日报</w:t>
      </w:r>
      <w:smartTag w:uri="urn:schemas-microsoft-com:office:smarttags" w:element="chsdate">
        <w:smartTagPr>
          <w:attr w:name="Year" w:val="2019"/>
          <w:attr w:name="Month" w:val="3"/>
          <w:attr w:name="Day" w:val="13"/>
          <w:attr w:name="IsLunarDate" w:val="False"/>
          <w:attr w:name="IsROCDate" w:val="False"/>
        </w:smartTagPr>
        <w:r>
          <w:rPr>
            <w:rFonts w:hint="eastAsia"/>
          </w:rPr>
          <w:t>2019-3-13</w:t>
        </w:r>
      </w:smartTag>
    </w:p>
    <w:p w:rsidR="006C7328" w:rsidRDefault="006C7328" w:rsidP="00256693">
      <w:pPr>
        <w:sectPr w:rsidR="006C7328" w:rsidSect="00256693">
          <w:type w:val="continuous"/>
          <w:pgSz w:w="11906" w:h="16838" w:code="9"/>
          <w:pgMar w:top="1644" w:right="1236" w:bottom="1418" w:left="1814" w:header="851" w:footer="907" w:gutter="0"/>
          <w:pgNumType w:start="1"/>
          <w:cols w:space="425"/>
          <w:docGrid w:type="lines" w:linePitch="341" w:charSpace="2373"/>
        </w:sectPr>
      </w:pPr>
    </w:p>
    <w:p w:rsidR="007E5D19" w:rsidRDefault="007E5D19"/>
    <w:sectPr w:rsidR="007E5D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7328"/>
    <w:rsid w:val="006C7328"/>
    <w:rsid w:val="007E5D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C73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C73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366</Words>
  <Characters>2089</Characters>
  <Application>Microsoft Office Word</Application>
  <DocSecurity>0</DocSecurity>
  <Lines>17</Lines>
  <Paragraphs>4</Paragraphs>
  <ScaleCrop>false</ScaleCrop>
  <Company>微软中国</Company>
  <LinksUpToDate>false</LinksUpToDate>
  <CharactersWithSpaces>2451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2022-07-07T01:26:00Z</dcterms:created>
</cp:coreProperties>
</file>