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2B48" w:rsidRDefault="00882B48" w:rsidP="00832E20">
      <w:pPr>
        <w:pStyle w:val="1"/>
        <w:spacing w:line="245" w:lineRule="auto"/>
      </w:pPr>
      <w:r>
        <w:rPr>
          <w:rFonts w:hint="eastAsia"/>
        </w:rPr>
        <w:t>心系百姓守民心——</w:t>
      </w:r>
      <w:r w:rsidRPr="00BE3599">
        <w:rPr>
          <w:rFonts w:hint="eastAsia"/>
        </w:rPr>
        <w:t>贵港市化解信访积案综述</w:t>
      </w:r>
    </w:p>
    <w:p w:rsidR="00882B48" w:rsidRDefault="00882B48" w:rsidP="00882B48">
      <w:pPr>
        <w:spacing w:line="245" w:lineRule="auto"/>
        <w:ind w:firstLineChars="200" w:firstLine="420"/>
      </w:pPr>
      <w:r>
        <w:t>2021</w:t>
      </w:r>
      <w:r>
        <w:t>年</w:t>
      </w:r>
      <w:r>
        <w:t>11</w:t>
      </w:r>
      <w:r>
        <w:t>月</w:t>
      </w:r>
      <w:r>
        <w:t>3</w:t>
      </w:r>
      <w:r>
        <w:t>日，在全区信访积案化解专题会议上，我市作经验交流发言。贵港的经验做法得到自治区信访联席办的充分肯定，并在全区宣传和推广。</w:t>
      </w:r>
    </w:p>
    <w:p w:rsidR="00882B48" w:rsidRDefault="00882B48" w:rsidP="00882B48">
      <w:pPr>
        <w:spacing w:line="245" w:lineRule="auto"/>
        <w:ind w:firstLineChars="200" w:firstLine="420"/>
      </w:pPr>
      <w:r>
        <w:t>2021</w:t>
      </w:r>
      <w:r>
        <w:t>年以来，全市各级各部门深入学习贯彻习近平总书记视察广西时的重要讲话和重要指示精神，坚持以人民为中心的发展思想，紧紧围绕市委中心工作，把开展党史学习教育</w:t>
      </w:r>
      <w:r>
        <w:t>“</w:t>
      </w:r>
      <w:r>
        <w:t>我为群众办实事</w:t>
      </w:r>
      <w:r>
        <w:t>”</w:t>
      </w:r>
      <w:r>
        <w:t>实践活动同做好信访维稳工作相结合，以</w:t>
      </w:r>
      <w:r>
        <w:t>“</w:t>
      </w:r>
      <w:r>
        <w:t>不管案件多难，也要敢啃骨头、聚力化解；不管时跨多大，也要尊重历史、现实化解；不管群体多大，也要分类处理、针对化解</w:t>
      </w:r>
      <w:r>
        <w:t>”“</w:t>
      </w:r>
      <w:r>
        <w:t>三不管</w:t>
      </w:r>
      <w:r>
        <w:t>”</w:t>
      </w:r>
      <w:r>
        <w:t>的坚定决心和信心，持续深化信访工作制度改革，信访维稳工作实现了三个转变，形成了可复制推广的经验做法。</w:t>
      </w:r>
    </w:p>
    <w:p w:rsidR="00882B48" w:rsidRDefault="00882B48" w:rsidP="00882B48">
      <w:pPr>
        <w:spacing w:line="245" w:lineRule="auto"/>
        <w:ind w:firstLineChars="200" w:firstLine="420"/>
      </w:pPr>
      <w:r>
        <w:rPr>
          <w:rFonts w:hint="eastAsia"/>
        </w:rPr>
        <w:t>从“信访转交”到“领导带动、高质推动”转变</w:t>
      </w:r>
    </w:p>
    <w:p w:rsidR="00882B48" w:rsidRDefault="00882B48" w:rsidP="00882B48">
      <w:pPr>
        <w:spacing w:line="245" w:lineRule="auto"/>
        <w:ind w:firstLineChars="200" w:firstLine="420"/>
      </w:pPr>
      <w:r>
        <w:t>2021</w:t>
      </w:r>
      <w:r>
        <w:t>年，市委常委会、市政府常务会分别专题研究</w:t>
      </w:r>
      <w:r>
        <w:t>2</w:t>
      </w:r>
      <w:r>
        <w:t>次信访积案化解工作，把抓</w:t>
      </w:r>
      <w:r>
        <w:t>“</w:t>
      </w:r>
      <w:r>
        <w:t>领导带动、高质推动</w:t>
      </w:r>
      <w:r>
        <w:t>”</w:t>
      </w:r>
      <w:r>
        <w:t>放在首位，市委书记何录春亲自约访群众并作重要批示，解决了港北区城市怡景小区</w:t>
      </w:r>
      <w:r>
        <w:t>852</w:t>
      </w:r>
      <w:r>
        <w:t>户业主要求办理不动产权证等一批信访积案；市委、市政府召开</w:t>
      </w:r>
      <w:r>
        <w:t>3</w:t>
      </w:r>
      <w:r>
        <w:t>次推进会，为积案化解当靠山；市委政法委牵头、市信访局为排头兵，联动各信访联席部门和各县（市、区）攻坚化解、联合办案，并与各县（市、区）、相关部门主要领导签订了责任书；市信访联席会议成立</w:t>
      </w:r>
      <w:r>
        <w:t>5</w:t>
      </w:r>
      <w:r>
        <w:t>个以厅级领导为组长的指导组，深入各县（市、区）和市直相关部门，全程跟踪督导工作进展及案件化解</w:t>
      </w:r>
      <w:r>
        <w:rPr>
          <w:rFonts w:hint="eastAsia"/>
        </w:rPr>
        <w:t>情况；成立工作专班深入现场办案，推进积案化解；所有上级交办信访积案，均落实主要领导亲自阅批、督办，同时由处级领导包案，对疑难积案、骨头案、钉子案，均由主要领导包案，构建“件件由主要领导批示把关，件件落实领导包案责任”的工作格局。</w:t>
      </w:r>
    </w:p>
    <w:p w:rsidR="00882B48" w:rsidRDefault="00882B48" w:rsidP="00882B48">
      <w:pPr>
        <w:spacing w:line="245" w:lineRule="auto"/>
        <w:ind w:firstLineChars="200" w:firstLine="420"/>
      </w:pPr>
      <w:r>
        <w:rPr>
          <w:rFonts w:hint="eastAsia"/>
        </w:rPr>
        <w:t>从“单打独斗”到“联合作战、精准施策”转变</w:t>
      </w:r>
    </w:p>
    <w:p w:rsidR="00882B48" w:rsidRDefault="00882B48" w:rsidP="00882B48">
      <w:pPr>
        <w:spacing w:line="245" w:lineRule="auto"/>
        <w:ind w:firstLineChars="200" w:firstLine="420"/>
      </w:pPr>
      <w:r>
        <w:rPr>
          <w:rFonts w:hint="eastAsia"/>
        </w:rPr>
        <w:t>我市充分发挥信访工作联席会议协调联动作用和资源优势，创新“五强机制”，打好“五大会战”。</w:t>
      </w:r>
    </w:p>
    <w:p w:rsidR="00882B48" w:rsidRDefault="00882B48" w:rsidP="00882B48">
      <w:pPr>
        <w:spacing w:line="245" w:lineRule="auto"/>
        <w:ind w:firstLineChars="200" w:firstLine="420"/>
      </w:pPr>
      <w:r>
        <w:rPr>
          <w:rFonts w:hint="eastAsia"/>
        </w:rPr>
        <w:t>强化会审制，打好“主动战”。从全市范围内抽调政法、律师、信访、心理等专家，组成会审专班，定期会商，限期会审，主动提前分析、研办，提出化解工作思路；深入实地逐案梳理、核查、分析、研判信访诉求，并根据具体情况动态调整化解思路；凡是涉及多个地方和部门的信访积案，由市信访联席办牵头开展联合会商、联动督办，最终协调推动。市委常委、政法委书记、市信访联席会议第一召集人李建锋亲自会审积案，提出具体工作要求。副市长、市公安局局长刘晓华亲自督战国潮（深圳）三维码非法传销案，依法处置，把案件办成了铁案。</w:t>
      </w:r>
    </w:p>
    <w:p w:rsidR="00882B48" w:rsidRDefault="00882B48" w:rsidP="00882B48">
      <w:pPr>
        <w:spacing w:line="245" w:lineRule="auto"/>
        <w:ind w:firstLineChars="200" w:firstLine="420"/>
      </w:pPr>
      <w:r>
        <w:rPr>
          <w:rFonts w:hint="eastAsia"/>
        </w:rPr>
        <w:t>强化交办制，打好“攻坚战”。对群众反映强烈、涉及面广的信访积案第一时间清单管理，销号化解。</w:t>
      </w:r>
    </w:p>
    <w:p w:rsidR="00882B48" w:rsidRDefault="00882B48" w:rsidP="00882B48">
      <w:pPr>
        <w:spacing w:line="245" w:lineRule="auto"/>
        <w:ind w:firstLineChars="200" w:firstLine="420"/>
      </w:pPr>
      <w:r>
        <w:rPr>
          <w:rFonts w:hint="eastAsia"/>
        </w:rPr>
        <w:t>强化联动制，打好“持久战”。为做好为期</w:t>
      </w:r>
      <w:r>
        <w:t>3</w:t>
      </w:r>
      <w:r>
        <w:t>年的持久化解战役，从政法机关及信访业务量大的职能部门抽调精干力量，相对固定人员、固定任务、固定责任，一抓到底。</w:t>
      </w:r>
    </w:p>
    <w:p w:rsidR="00882B48" w:rsidRDefault="00882B48" w:rsidP="00882B48">
      <w:pPr>
        <w:spacing w:line="245" w:lineRule="auto"/>
        <w:ind w:firstLineChars="200" w:firstLine="420"/>
      </w:pPr>
      <w:r>
        <w:rPr>
          <w:rFonts w:hint="eastAsia"/>
        </w:rPr>
        <w:t>强化督办制，打好“歼灭战”。市、县两级信访联席办加强与同级纪委监委的联络沟通、协作配合，对推进工作责任不到位的进行约谈、通报等执纪问责，其中联合督办的</w:t>
      </w:r>
      <w:r>
        <w:t>17</w:t>
      </w:r>
      <w:r>
        <w:t>件积案已得到有效解决。</w:t>
      </w:r>
    </w:p>
    <w:p w:rsidR="00882B48" w:rsidRDefault="00882B48" w:rsidP="00882B48">
      <w:pPr>
        <w:spacing w:line="245" w:lineRule="auto"/>
        <w:ind w:firstLineChars="200" w:firstLine="420"/>
      </w:pPr>
      <w:r>
        <w:rPr>
          <w:rFonts w:hint="eastAsia"/>
        </w:rPr>
        <w:t>强化责任制，打好“巩固战”。我市把“盯紧问题、注重实体、提升质量、严防反弹、办成铁案”五个目标作为检验信访积案化解工作的根本标准，制定“回头看机制”，保证化解质量。</w:t>
      </w:r>
    </w:p>
    <w:p w:rsidR="00882B48" w:rsidRDefault="00882B48" w:rsidP="00882B48">
      <w:pPr>
        <w:spacing w:line="245" w:lineRule="auto"/>
        <w:ind w:firstLineChars="200" w:firstLine="420"/>
      </w:pPr>
      <w:r>
        <w:rPr>
          <w:rFonts w:hint="eastAsia"/>
        </w:rPr>
        <w:t>从“信访答复”到“案结事了、事心双结”转变</w:t>
      </w:r>
    </w:p>
    <w:p w:rsidR="00882B48" w:rsidRDefault="00882B48" w:rsidP="00882B48">
      <w:pPr>
        <w:spacing w:line="245" w:lineRule="auto"/>
        <w:ind w:firstLineChars="200" w:firstLine="420"/>
      </w:pPr>
      <w:r>
        <w:rPr>
          <w:rFonts w:hint="eastAsia"/>
        </w:rPr>
        <w:t>我市立足于“准”，立足于“实”，立足于“法”来解决问题，推动息诉息访。针对信访部门事权有限的薄弱环节，强化案件办理主体责任，要求责任单位对案件化解做到诉求解决不到位的不放过，思想教育不得力的不放过，帮扶救助不尽力的不放过，有效推动积案化解。</w:t>
      </w:r>
    </w:p>
    <w:p w:rsidR="00882B48" w:rsidRDefault="00882B48" w:rsidP="00882B48">
      <w:pPr>
        <w:spacing w:line="245" w:lineRule="auto"/>
        <w:ind w:firstLineChars="200" w:firstLine="420"/>
      </w:pPr>
      <w:r>
        <w:rPr>
          <w:rFonts w:hint="eastAsia"/>
        </w:rPr>
        <w:t>严格结案标准。我市制定了“统一办理要求、统一结案标准、统一材料录入、统一审核内容，随时结案、随时录入、随时审核，实体化解优先、息诉息访优先”的“四统一、三随时、二优先”质量保证措施。全市本级从严把关，先后退回</w:t>
      </w:r>
      <w:r>
        <w:t>60</w:t>
      </w:r>
      <w:r>
        <w:t>件报结案件要求重办。</w:t>
      </w:r>
    </w:p>
    <w:p w:rsidR="00882B48" w:rsidRDefault="00882B48" w:rsidP="00882B48">
      <w:pPr>
        <w:spacing w:line="245" w:lineRule="auto"/>
        <w:ind w:firstLineChars="200" w:firstLine="420"/>
      </w:pPr>
      <w:r>
        <w:rPr>
          <w:rFonts w:hint="eastAsia"/>
        </w:rPr>
        <w:t>善借力巧用力。我市结合“万名干部回故乡</w:t>
      </w:r>
      <w:r>
        <w:t xml:space="preserve"> </w:t>
      </w:r>
      <w:r>
        <w:t>带领群众建家乡</w:t>
      </w:r>
      <w:r>
        <w:t>”</w:t>
      </w:r>
      <w:r>
        <w:t>主题活动，发挥人民调解、司法调解、法律援助作用，在力量上借助</w:t>
      </w:r>
      <w:r>
        <w:t>“</w:t>
      </w:r>
      <w:r>
        <w:t>三官一律</w:t>
      </w:r>
      <w:r>
        <w:t>”</w:t>
      </w:r>
      <w:r>
        <w:t>（法官、检察官、警官、律师）、</w:t>
      </w:r>
      <w:r>
        <w:t>“</w:t>
      </w:r>
      <w:r>
        <w:t>两代表一委员</w:t>
      </w:r>
      <w:r>
        <w:t>”</w:t>
      </w:r>
      <w:r>
        <w:t>共同参与，在工作中注重</w:t>
      </w:r>
      <w:r>
        <w:t>“</w:t>
      </w:r>
      <w:r>
        <w:t>主体合法、内容合法、程序合法</w:t>
      </w:r>
      <w:r>
        <w:t>”</w:t>
      </w:r>
      <w:r>
        <w:t>三个合法性原则相统一，做到案件达成调解协议后信访人满意，以及社会效果与法律效果相统一。</w:t>
      </w:r>
    </w:p>
    <w:p w:rsidR="00882B48" w:rsidRDefault="00882B48" w:rsidP="00882B48">
      <w:pPr>
        <w:spacing w:line="245" w:lineRule="auto"/>
        <w:ind w:firstLineChars="200" w:firstLine="420"/>
      </w:pPr>
      <w:r>
        <w:rPr>
          <w:rFonts w:hint="eastAsia"/>
        </w:rPr>
        <w:t>调度通报考核并举。建立“每日报告、半月调度、一月通报、半年考核”机制，压实责任，推动积案化解工作落实到位。</w:t>
      </w:r>
      <w:r>
        <w:t>2021</w:t>
      </w:r>
      <w:r>
        <w:t>年，全市通报了两期红黑榜名单，其中桂平市是信访积案大户，措施得力，持续领跑全市，获</w:t>
      </w:r>
      <w:r>
        <w:t>“</w:t>
      </w:r>
      <w:r>
        <w:t>红榜</w:t>
      </w:r>
      <w:r>
        <w:t>”</w:t>
      </w:r>
      <w:r>
        <w:t>表扬。平南县、覃塘区等</w:t>
      </w:r>
      <w:r>
        <w:t>6</w:t>
      </w:r>
      <w:r>
        <w:t>个单位因进度缓慢被</w:t>
      </w:r>
      <w:r>
        <w:t>“</w:t>
      </w:r>
      <w:r>
        <w:t>黑榜</w:t>
      </w:r>
      <w:r>
        <w:t>”</w:t>
      </w:r>
      <w:r>
        <w:t>通报后，主要领导及时组织查找问题，分析原因，明责加压，见人见事，迎头赶上。平南县知耻而后勇，迅速扭转了被动局面，进度、质量跃居全市前列。</w:t>
      </w:r>
    </w:p>
    <w:p w:rsidR="00882B48" w:rsidRDefault="00882B48" w:rsidP="00882B48">
      <w:pPr>
        <w:spacing w:line="245" w:lineRule="auto"/>
        <w:ind w:firstLineChars="200" w:firstLine="420"/>
      </w:pPr>
      <w:r>
        <w:t>2021</w:t>
      </w:r>
      <w:r>
        <w:t>年</w:t>
      </w:r>
      <w:r>
        <w:t>7</w:t>
      </w:r>
      <w:r>
        <w:t>月</w:t>
      </w:r>
      <w:r>
        <w:t>9</w:t>
      </w:r>
      <w:r>
        <w:t>日，我市率先在全区</w:t>
      </w:r>
      <w:r>
        <w:t>100%</w:t>
      </w:r>
      <w:r>
        <w:t>完成第一批积案化解任务，实体化解率</w:t>
      </w:r>
      <w:r>
        <w:t>73%</w:t>
      </w:r>
      <w:r>
        <w:t>，化解进度和质量位居全区</w:t>
      </w:r>
      <w:r>
        <w:t>“</w:t>
      </w:r>
      <w:r>
        <w:t>双第一</w:t>
      </w:r>
      <w:r>
        <w:t>”</w:t>
      </w:r>
      <w:r>
        <w:t>。目前，上级交办的第二批积案化解任务</w:t>
      </w:r>
      <w:r>
        <w:t>126</w:t>
      </w:r>
      <w:r>
        <w:t>件，我市已实体化解</w:t>
      </w:r>
      <w:r>
        <w:t>42</w:t>
      </w:r>
      <w:r>
        <w:t>件，化解率</w:t>
      </w:r>
      <w:r>
        <w:t>33%</w:t>
      </w:r>
      <w:r>
        <w:t>。</w:t>
      </w:r>
    </w:p>
    <w:p w:rsidR="00882B48" w:rsidRDefault="00882B48" w:rsidP="00882B48">
      <w:pPr>
        <w:spacing w:line="245" w:lineRule="auto"/>
        <w:ind w:firstLineChars="200" w:firstLine="420"/>
        <w:jc w:val="right"/>
      </w:pPr>
      <w:r w:rsidRPr="00BE3599">
        <w:rPr>
          <w:rFonts w:hint="eastAsia"/>
        </w:rPr>
        <w:t>贵港日报</w:t>
      </w:r>
      <w:r>
        <w:rPr>
          <w:rFonts w:hint="eastAsia"/>
        </w:rPr>
        <w:t>2022-2-2</w:t>
      </w:r>
    </w:p>
    <w:p w:rsidR="00882B48" w:rsidRDefault="00882B48" w:rsidP="00E82598">
      <w:pPr>
        <w:sectPr w:rsidR="00882B48" w:rsidSect="00E82598">
          <w:type w:val="continuous"/>
          <w:pgSz w:w="11906" w:h="16838"/>
          <w:pgMar w:top="1644" w:right="1236" w:bottom="1418" w:left="1814" w:header="851" w:footer="907" w:gutter="0"/>
          <w:pgNumType w:start="1"/>
          <w:cols w:space="720"/>
          <w:docGrid w:type="lines" w:linePitch="341" w:charSpace="2373"/>
        </w:sectPr>
      </w:pPr>
    </w:p>
    <w:p w:rsidR="00B86537" w:rsidRDefault="00B86537"/>
    <w:sectPr w:rsidR="00B865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2B48"/>
    <w:rsid w:val="00882B48"/>
    <w:rsid w:val="00B865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2B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2B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1735</Characters>
  <Application>Microsoft Office Word</Application>
  <DocSecurity>0</DocSecurity>
  <Lines>14</Lines>
  <Paragraphs>4</Paragraphs>
  <ScaleCrop>false</ScaleCrop>
  <Company>微软中国</Company>
  <LinksUpToDate>false</LinksUpToDate>
  <CharactersWithSpaces>2035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2022-06-30T07:58:00Z</dcterms:created>
</cp:coreProperties>
</file>