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ECB" w:rsidRDefault="00274ECB" w:rsidP="006014BC">
      <w:pPr>
        <w:pStyle w:val="1"/>
        <w:rPr>
          <w:rFonts w:hint="eastAsia"/>
        </w:rPr>
      </w:pPr>
      <w:r w:rsidRPr="006014BC">
        <w:rPr>
          <w:rFonts w:hint="eastAsia"/>
        </w:rPr>
        <w:t>创新统计监测制度：广东推动妇女儿童事业发展有新招</w:t>
      </w:r>
    </w:p>
    <w:p w:rsidR="00274ECB" w:rsidRDefault="00274ECB" w:rsidP="00274ECB">
      <w:pPr>
        <w:ind w:firstLineChars="200" w:firstLine="420"/>
      </w:pPr>
      <w:r>
        <w:rPr>
          <w:rFonts w:hint="eastAsia"/>
        </w:rPr>
        <w:t>为了不断推进广东妇女儿童事业取得新发展，广东各级妇儿工委规划出一套针对妇女儿童发展需要的创新统计监测制度。让我们快来看看她们的创新想法有哪些，并取得了怎样的成绩。</w:t>
      </w:r>
    </w:p>
    <w:p w:rsidR="00274ECB" w:rsidRDefault="00274ECB" w:rsidP="00274ECB">
      <w:pPr>
        <w:ind w:firstLineChars="200" w:firstLine="420"/>
      </w:pPr>
      <w:r>
        <w:rPr>
          <w:rFonts w:hint="eastAsia"/>
        </w:rPr>
        <w:t>创新建设分性别统计数据库</w:t>
      </w:r>
    </w:p>
    <w:p w:rsidR="00274ECB" w:rsidRDefault="00274ECB" w:rsidP="00274ECB">
      <w:pPr>
        <w:ind w:firstLineChars="200" w:firstLine="420"/>
      </w:pPr>
      <w:r>
        <w:rPr>
          <w:rFonts w:hint="eastAsia"/>
        </w:rPr>
        <w:t>广东是全国第一人口大省，</w:t>
      </w:r>
      <w:r>
        <w:t>2017</w:t>
      </w:r>
      <w:r>
        <w:t>年底全省常住人口</w:t>
      </w:r>
      <w:r>
        <w:t>11169</w:t>
      </w:r>
      <w:r>
        <w:t>万人，其中女性</w:t>
      </w:r>
      <w:r>
        <w:t>5306.39</w:t>
      </w:r>
      <w:r>
        <w:t>万人，占比</w:t>
      </w:r>
      <w:r>
        <w:t>47.51%</w:t>
      </w:r>
      <w:r>
        <w:t>。近年来，广东省加大贯彻落实男女平等基本国策力度，不断创新体制机制，把推动分性别统计制度的建立作为政府一项重要工作内容来抓，取得了初步成效，为促进妇女全面发展、儿童健康成长营造了良好的社会氛围。</w:t>
      </w:r>
    </w:p>
    <w:p w:rsidR="00274ECB" w:rsidRDefault="00274ECB" w:rsidP="00274ECB">
      <w:pPr>
        <w:ind w:firstLineChars="200" w:firstLine="420"/>
      </w:pPr>
      <w:r>
        <w:t xml:space="preserve"> 2012</w:t>
      </w:r>
      <w:r>
        <w:t>年在全国率先建立了广东自主开发、拥有自主知识产权的妇女儿童发展规划统计监测数据库，累计投入近</w:t>
      </w:r>
      <w:r>
        <w:t>250</w:t>
      </w:r>
      <w:r>
        <w:t>万元实现了省市县三级统计监测网络全覆盖，确保监测数据更加科学、准确、及时、有效。《广东省妇女儿童发展规划重点统计监测制度》，将纲要规划优先发展领域的</w:t>
      </w:r>
      <w:r>
        <w:t>270</w:t>
      </w:r>
      <w:r>
        <w:t>项分性别统计指标设置为年报指标，形成年度统计监测报告；在全国率先将孕产妇死亡率、城镇从业人员女性比例等六个难点指标纳入政府责任考核体系，为党委政府制定妇女儿童相关政策提供科学依据。</w:t>
      </w:r>
    </w:p>
    <w:p w:rsidR="00274ECB" w:rsidRDefault="00274ECB" w:rsidP="00274ECB">
      <w:pPr>
        <w:ind w:firstLineChars="200" w:firstLine="420"/>
      </w:pPr>
      <w:r>
        <w:t xml:space="preserve"> </w:t>
      </w:r>
      <w:r>
        <w:t>创新建立分性别统计制度</w:t>
      </w:r>
    </w:p>
    <w:p w:rsidR="00274ECB" w:rsidRDefault="00274ECB" w:rsidP="00274ECB">
      <w:pPr>
        <w:ind w:firstLineChars="200" w:firstLine="420"/>
      </w:pPr>
      <w:r>
        <w:t xml:space="preserve"> </w:t>
      </w:r>
      <w:r>
        <w:t>几任广东省妇儿工委副主任、广东省妇联主席与卫计、教育、人社、民政和统计部门沟通协调，共同研讨创建广东分性别统计制度事宜。在广东省妇儿工委的大力支持和广东省统计局的业务指导下，深圳市先行先试，于</w:t>
      </w:r>
      <w:r>
        <w:t>2016</w:t>
      </w:r>
      <w:r>
        <w:t>年出台了集创新性、科学性、可操作性于一体的《深圳市社会性别统计指标体系》，涵盖社会性别指标</w:t>
      </w:r>
      <w:r>
        <w:t>1645</w:t>
      </w:r>
      <w:r>
        <w:t>项，已连续三年向社会发布《深圳市社会性别统计报告》，并在全国社科文统计工作会议上作了介绍发言，为广东全省建立分性别统计积累了经验。</w:t>
      </w:r>
    </w:p>
    <w:p w:rsidR="00274ECB" w:rsidRDefault="00274ECB" w:rsidP="00274ECB">
      <w:pPr>
        <w:ind w:firstLineChars="200" w:firstLine="420"/>
      </w:pPr>
      <w:r>
        <w:rPr>
          <w:rFonts w:hint="eastAsia"/>
        </w:rPr>
        <w:t>去年，广东省妇儿工委、广东省统计局领导多次磋商，经过委员会会议讨论和开展数据采集系统建设需求调研，分别听取</w:t>
      </w:r>
      <w:r>
        <w:t>20</w:t>
      </w:r>
      <w:r>
        <w:t>个省直相关部门及国家统计局意见，形成《广东省分性别统计制度（初稿）》，确定了</w:t>
      </w:r>
      <w:r>
        <w:t>850</w:t>
      </w:r>
      <w:r>
        <w:t>项能从社会性别视角直观反映广东妇女儿童发展现状的量化指标，标志着广东省全面开展分性别统计工作实现新突破。</w:t>
      </w:r>
    </w:p>
    <w:p w:rsidR="00274ECB" w:rsidRDefault="00274ECB" w:rsidP="00274ECB">
      <w:pPr>
        <w:ind w:firstLineChars="200" w:firstLine="420"/>
      </w:pPr>
      <w:r>
        <w:t xml:space="preserve"> </w:t>
      </w:r>
      <w:r>
        <w:t>创新建立统计监测预警机制</w:t>
      </w:r>
    </w:p>
    <w:p w:rsidR="00274ECB" w:rsidRDefault="00274ECB" w:rsidP="00274ECB">
      <w:pPr>
        <w:ind w:firstLineChars="200" w:firstLine="420"/>
      </w:pPr>
      <w:r>
        <w:t xml:space="preserve"> </w:t>
      </w:r>
      <w:r>
        <w:t>为满足监测评估的需求，广东省在全国率先建立统计监测预警机制。运用数据库功能，对纲要规划</w:t>
      </w:r>
      <w:r>
        <w:t>130</w:t>
      </w:r>
      <w:r>
        <w:t>多项重点指标进行年度目标分解。截至</w:t>
      </w:r>
      <w:r>
        <w:t>2017</w:t>
      </w:r>
      <w:r>
        <w:t>年底，中国妇女、儿童发展纲要可量化指标共有</w:t>
      </w:r>
      <w:r>
        <w:t>75</w:t>
      </w:r>
      <w:r>
        <w:t>项，达标</w:t>
      </w:r>
      <w:r>
        <w:t>62</w:t>
      </w:r>
      <w:r>
        <w:t>项，总达标率为</w:t>
      </w:r>
      <w:r>
        <w:t>82.7%</w:t>
      </w:r>
      <w:r>
        <w:t>。</w:t>
      </w:r>
    </w:p>
    <w:p w:rsidR="00274ECB" w:rsidRDefault="00274ECB" w:rsidP="00274ECB">
      <w:pPr>
        <w:ind w:firstLineChars="200" w:firstLine="420"/>
      </w:pPr>
      <w:r>
        <w:t xml:space="preserve"> </w:t>
      </w:r>
      <w:r>
        <w:t>广东省对部分纲要规划重难点指标进展情况进行季度通报，并结合年度指标完成情况进行全面通报。如对残疾儿童入学率、九年义务教育巩固率、农村生活饮用水水质卫生合格率、卫生村覆盖率等难点指标监测情况进行季度通报。</w:t>
      </w:r>
    </w:p>
    <w:p w:rsidR="00274ECB" w:rsidRDefault="00274ECB" w:rsidP="00274ECB">
      <w:pPr>
        <w:ind w:firstLineChars="200" w:firstLine="420"/>
      </w:pPr>
      <w:r>
        <w:t xml:space="preserve"> </w:t>
      </w:r>
      <w:r>
        <w:t>针对预警信号图反映广东省出生缺陷发生率高于全国平均水平，村委会主任中女性比例处于较低水平，农村生活饮用水水质卫生合格率达标滞缓等问题，省妇儿工委及时召开部分成员单位协调会，时任副省长、省妇儿工委主任蓝佛安召集</w:t>
      </w:r>
      <w:r>
        <w:t>9</w:t>
      </w:r>
      <w:r>
        <w:t>个短板指标的责任单位进行集体约谈，进一步压实部门责任，推动重难点问题解决。如省卫健委积极应对出生缺陷发生率偏高的问题，加大妇幼公共卫生服务投入，</w:t>
      </w:r>
      <w:r>
        <w:t>2015-2018</w:t>
      </w:r>
      <w:r>
        <w:t>年争取省财政专项资金</w:t>
      </w:r>
      <w:r>
        <w:t>6.6</w:t>
      </w:r>
      <w:r>
        <w:t>亿元，落实出生缺陷三级综合防治措施，推动新生儿出生缺陷综合防控工程纳入地方重大公共卫生服务项目，切实把好预防出生</w:t>
      </w:r>
      <w:r>
        <w:rPr>
          <w:rFonts w:hint="eastAsia"/>
        </w:rPr>
        <w:t>缺陷三道关，近</w:t>
      </w:r>
      <w:r>
        <w:t>3</w:t>
      </w:r>
      <w:r>
        <w:t>年该指标上升的趋势已得到有效遏制。</w:t>
      </w:r>
    </w:p>
    <w:p w:rsidR="00274ECB" w:rsidRDefault="00274ECB" w:rsidP="00274ECB">
      <w:pPr>
        <w:ind w:firstLineChars="200" w:firstLine="420"/>
      </w:pPr>
      <w:r>
        <w:t xml:space="preserve"> </w:t>
      </w:r>
      <w:r>
        <w:t>通过对纲要规划重要指标持续监测，发现短板和不足，推动顶层设计，加强精准施策。如针对广东省人大代表、政协委员女性比例偏低问题，在新一届人大代表和政协委员选举前，省妇儿工委发函商请省人大、省委组织部、省委统战部在推荐提名工作中就女性比例提出刚性要求。</w:t>
      </w:r>
      <w:r>
        <w:t>2018</w:t>
      </w:r>
      <w:r>
        <w:t>年新当选的省人大代表中女性比例创新高，达到</w:t>
      </w:r>
      <w:r>
        <w:t>33.29%</w:t>
      </w:r>
      <w:r>
        <w:t>，位列全国第二，省政协委员中女性比例较上届明显提高。</w:t>
      </w:r>
    </w:p>
    <w:p w:rsidR="00274ECB" w:rsidRDefault="00274ECB" w:rsidP="00274ECB">
      <w:pPr>
        <w:ind w:firstLineChars="200" w:firstLine="420"/>
        <w:rPr>
          <w:rFonts w:hint="eastAsia"/>
        </w:rPr>
      </w:pPr>
      <w:r>
        <w:t xml:space="preserve"> </w:t>
      </w:r>
      <w:r>
        <w:t>近年来，监测预警机制在推动纲要规划重难点指标的攻坚克难上发挥了重要作用。</w:t>
      </w:r>
    </w:p>
    <w:p w:rsidR="00274ECB" w:rsidRDefault="00274ECB" w:rsidP="00274ECB">
      <w:pPr>
        <w:ind w:firstLineChars="200" w:firstLine="420"/>
        <w:jc w:val="right"/>
        <w:rPr>
          <w:rFonts w:hint="eastAsia"/>
        </w:rPr>
      </w:pPr>
      <w:r w:rsidRPr="006014BC">
        <w:rPr>
          <w:rFonts w:hint="eastAsia"/>
        </w:rPr>
        <w:t>政府网站</w:t>
      </w:r>
      <w:smartTag w:uri="urn:schemas-microsoft-com:office:smarttags" w:element="chsdate">
        <w:smartTagPr>
          <w:attr w:name="Year" w:val="2019"/>
          <w:attr w:name="Month" w:val="1"/>
          <w:attr w:name="Day" w:val="23"/>
          <w:attr w:name="IsLunarDate" w:val="False"/>
          <w:attr w:name="IsROCDate" w:val="False"/>
        </w:smartTagPr>
        <w:r>
          <w:rPr>
            <w:rFonts w:hint="eastAsia"/>
          </w:rPr>
          <w:t>2019-1-23</w:t>
        </w:r>
      </w:smartTag>
    </w:p>
    <w:p w:rsidR="00274ECB" w:rsidRDefault="00274ECB" w:rsidP="00B86936">
      <w:pPr>
        <w:sectPr w:rsidR="00274ECB" w:rsidSect="00B86936">
          <w:type w:val="continuous"/>
          <w:pgSz w:w="11906" w:h="16838" w:code="9"/>
          <w:pgMar w:top="1644" w:right="1236" w:bottom="1418" w:left="1814" w:header="851" w:footer="907" w:gutter="0"/>
          <w:pgNumType w:start="1"/>
          <w:cols w:space="425"/>
          <w:docGrid w:type="lines" w:linePitch="341" w:charSpace="2373"/>
        </w:sectPr>
      </w:pPr>
    </w:p>
    <w:p w:rsidR="009B21FF" w:rsidRDefault="009B21FF"/>
    <w:sectPr w:rsidR="009B21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4ECB"/>
    <w:rsid w:val="00274ECB"/>
    <w:rsid w:val="009B21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74E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74ECB"/>
    <w:rPr>
      <w:rFonts w:ascii="黑体" w:eastAsia="黑体" w:hAnsi="宋体" w:cs="Times New Roman"/>
      <w:b/>
      <w:kern w:val="36"/>
      <w:sz w:val="32"/>
      <w:szCs w:val="32"/>
    </w:rPr>
  </w:style>
  <w:style w:type="paragraph" w:customStyle="1" w:styleId="Char2CharCharChar">
    <w:name w:val="Char2 Char Char Char"/>
    <w:basedOn w:val="a"/>
    <w:autoRedefine/>
    <w:rsid w:val="00274E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1377</Characters>
  <Application>Microsoft Office Word</Application>
  <DocSecurity>0</DocSecurity>
  <Lines>11</Lines>
  <Paragraphs>3</Paragraphs>
  <ScaleCrop>false</ScaleCrop>
  <Company>Microsoft</Company>
  <LinksUpToDate>false</LinksUpToDate>
  <CharactersWithSpaces>1615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2022-07-14T09:09:00Z</dcterms:created>
</cp:coreProperties>
</file>