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7BC1" w:rsidRDefault="00B17BC1" w:rsidP="004010BF">
      <w:pPr>
        <w:pStyle w:val="1"/>
        <w:rPr>
          <w:rFonts w:hint="eastAsia"/>
        </w:rPr>
      </w:pPr>
      <w:r w:rsidRPr="004010BF">
        <w:rPr>
          <w:rFonts w:hint="eastAsia"/>
        </w:rPr>
        <w:t>关于降低因药物杀灭青苔造成虾蟹养殖危害的补救建议</w:t>
      </w:r>
    </w:p>
    <w:p w:rsidR="00B17BC1" w:rsidRDefault="00B17BC1" w:rsidP="00B17BC1">
      <w:pPr>
        <w:ind w:firstLineChars="200" w:firstLine="420"/>
      </w:pPr>
      <w:r>
        <w:t>2019</w:t>
      </w:r>
      <w:r>
        <w:t>年</w:t>
      </w:r>
      <w:r>
        <w:t>4</w:t>
      </w:r>
      <w:r>
        <w:t>月初以来，我县部分虾蟹养殖户反映，由于使用南通方圆微生物科技有限公司生产的</w:t>
      </w:r>
      <w:r>
        <w:t>“</w:t>
      </w:r>
      <w:r>
        <w:t>青苔速灭</w:t>
      </w:r>
      <w:r>
        <w:t>”</w:t>
      </w:r>
      <w:r>
        <w:t>、</w:t>
      </w:r>
      <w:r>
        <w:t>“</w:t>
      </w:r>
      <w:r>
        <w:t>苔灭草安</w:t>
      </w:r>
      <w:r>
        <w:t>”</w:t>
      </w:r>
      <w:r>
        <w:t>、扬州博思格生物科技有限公司生产的</w:t>
      </w:r>
      <w:r>
        <w:t>“</w:t>
      </w:r>
      <w:r>
        <w:t>青苔速绝</w:t>
      </w:r>
      <w:r>
        <w:t>”</w:t>
      </w:r>
      <w:r>
        <w:t>等产品后，出现养殖池塘水草萎缩、死亡、水质恶化及虾蟹不同程度上岸、上网甚至死亡等异常情况。了解到相关情况后，县水产站迅速行动，邀请省渔业技术推广中心、省淡水所以及省海洋所的相关专家实地调研了多家养殖户的虾蟹蜕壳、投入品使用和青苔防控情况，检测了相关养殖池塘的水质，结合检测结果和池塘实际情况，我们给出如下建议，供养殖户参考：</w:t>
      </w:r>
    </w:p>
    <w:p w:rsidR="00B17BC1" w:rsidRDefault="00B17BC1" w:rsidP="00B17BC1">
      <w:pPr>
        <w:ind w:firstLineChars="200" w:firstLine="420"/>
      </w:pPr>
      <w:r>
        <w:t>1</w:t>
      </w:r>
      <w:r>
        <w:t>、大量换水。平底池水排至约</w:t>
      </w:r>
      <w:r>
        <w:t>5</w:t>
      </w:r>
      <w:r>
        <w:t>厘米、环沟池排至约</w:t>
      </w:r>
      <w:r>
        <w:t>30</w:t>
      </w:r>
      <w:r>
        <w:t>厘米，尽量排出底部浮泥，捞除残余的腐烂水草。</w:t>
      </w:r>
    </w:p>
    <w:p w:rsidR="00B17BC1" w:rsidRDefault="00B17BC1" w:rsidP="00B17BC1">
      <w:pPr>
        <w:ind w:firstLineChars="200" w:firstLine="420"/>
      </w:pPr>
      <w:r>
        <w:t>2</w:t>
      </w:r>
      <w:r>
        <w:t>、使用微生物制剂。使用</w:t>
      </w:r>
      <w:r>
        <w:t>EM</w:t>
      </w:r>
      <w:r>
        <w:t>菌或其他净水改底微生物制剂，按说明书剂量使用，可以</w:t>
      </w:r>
      <w:r>
        <w:t>2</w:t>
      </w:r>
      <w:r>
        <w:t>个厂家的产品混合使用，剂量为各产品的一半。在排水后直接泼洒在水体和露出的池埂上，随后即加新鲜水至原来水位，尽量把加水时间安排在白天，水位到一定高度后配备增氧机的池塘开机增氧。</w:t>
      </w:r>
    </w:p>
    <w:p w:rsidR="00B17BC1" w:rsidRDefault="00B17BC1" w:rsidP="00B17BC1">
      <w:pPr>
        <w:ind w:firstLineChars="200" w:firstLine="420"/>
      </w:pPr>
      <w:r>
        <w:t>3</w:t>
      </w:r>
      <w:r>
        <w:t>、补种水草。换水后池塘中补种一定量伊乐藻，靠池埂和坂田处移植水花生，预防补种的伊乐藻再次死亡，供虾蟹隐蔽蜕壳。水花生漂浮水面，避免与底泥接触。</w:t>
      </w:r>
    </w:p>
    <w:p w:rsidR="00B17BC1" w:rsidRDefault="00B17BC1" w:rsidP="00B17BC1">
      <w:pPr>
        <w:ind w:firstLineChars="200" w:firstLine="420"/>
      </w:pPr>
      <w:r>
        <w:t>4</w:t>
      </w:r>
      <w:r>
        <w:t>、泼洒小球藻等藻种浓缩液。购买水剂的藻种全池泼洒，补充水体藻类，恢复藻相。</w:t>
      </w:r>
    </w:p>
    <w:p w:rsidR="00B17BC1" w:rsidRDefault="00B17BC1" w:rsidP="00B17BC1">
      <w:pPr>
        <w:ind w:firstLineChars="200" w:firstLine="420"/>
      </w:pPr>
      <w:r>
        <w:t>5</w:t>
      </w:r>
      <w:r>
        <w:t>、补碳源肥料。换水后泼洒含碳低氮肥料，剂量按说明书使用，促进微生物、藻类和水草生长。</w:t>
      </w:r>
    </w:p>
    <w:p w:rsidR="00B17BC1" w:rsidRDefault="00B17BC1" w:rsidP="00B17BC1">
      <w:pPr>
        <w:ind w:firstLineChars="200" w:firstLine="420"/>
      </w:pPr>
      <w:r>
        <w:t>6</w:t>
      </w:r>
      <w:r>
        <w:t>、每天检查水质和水草。检测水体氨氮、亚硝酸盐浓度，如氨氮超过</w:t>
      </w:r>
      <w:r>
        <w:t>0.5 mg/L</w:t>
      </w:r>
      <w:r>
        <w:t>、亚硝酸盐超过</w:t>
      </w:r>
      <w:r>
        <w:t>0.1 mg/L</w:t>
      </w:r>
      <w:r>
        <w:t>需采取措施降低浓度。每天检查伊乐藻恢复情况，如补种伊乐藻仍然死亡，重新换水补种。</w:t>
      </w:r>
    </w:p>
    <w:p w:rsidR="00B17BC1" w:rsidRDefault="00B17BC1" w:rsidP="00B17BC1">
      <w:pPr>
        <w:ind w:firstLineChars="200" w:firstLine="420"/>
      </w:pPr>
      <w:r>
        <w:t>7</w:t>
      </w:r>
      <w:r>
        <w:t>、对于河蟹死亡较多的塘口，建议补放小龙虾苗，进行虾蟹混养。</w:t>
      </w:r>
    </w:p>
    <w:p w:rsidR="00B17BC1" w:rsidRDefault="00B17BC1" w:rsidP="00B17BC1">
      <w:pPr>
        <w:ind w:firstLineChars="200" w:firstLine="420"/>
      </w:pPr>
      <w:r>
        <w:rPr>
          <w:rFonts w:hint="eastAsia"/>
        </w:rPr>
        <w:t>以上信息供养殖户参考，旨在帮助养殖户渡过难关、降低损失、恢复生产。县水产站将持续密切关注此次突发性事件，并及时提供相关进展情况与生产性建议。</w:t>
      </w:r>
    </w:p>
    <w:p w:rsidR="00B17BC1" w:rsidRDefault="00B17BC1" w:rsidP="004010BF">
      <w:pPr>
        <w:jc w:val="right"/>
        <w:rPr>
          <w:rFonts w:hint="eastAsia"/>
        </w:rPr>
      </w:pPr>
      <w:r>
        <w:t xml:space="preserve">                          </w:t>
      </w:r>
      <w:r>
        <w:t>盱眙县水产技术指导站</w:t>
      </w:r>
      <w:smartTag w:uri="urn:schemas-microsoft-com:office:smarttags" w:element="chsdate">
        <w:smartTagPr>
          <w:attr w:name="Year" w:val="2019"/>
          <w:attr w:name="Month" w:val="4"/>
          <w:attr w:name="Day" w:val="23"/>
          <w:attr w:name="IsLunarDate" w:val="False"/>
          <w:attr w:name="IsROCDate" w:val="False"/>
        </w:smartTagPr>
        <w:r>
          <w:rPr>
            <w:rFonts w:hint="eastAsia"/>
          </w:rPr>
          <w:t>2019-4-23</w:t>
        </w:r>
      </w:smartTag>
    </w:p>
    <w:p w:rsidR="00B17BC1" w:rsidRDefault="00B17BC1" w:rsidP="0060535F">
      <w:pPr>
        <w:sectPr w:rsidR="00B17BC1" w:rsidSect="0060535F">
          <w:type w:val="continuous"/>
          <w:pgSz w:w="11906" w:h="16838" w:code="9"/>
          <w:pgMar w:top="1644" w:right="1236" w:bottom="1418" w:left="1814" w:header="851" w:footer="907" w:gutter="0"/>
          <w:pgNumType w:start="1"/>
          <w:cols w:space="425"/>
          <w:docGrid w:type="lines" w:linePitch="341" w:charSpace="2373"/>
        </w:sectPr>
      </w:pPr>
    </w:p>
    <w:p w:rsidR="00CC6C54" w:rsidRDefault="00CC6C54"/>
    <w:sectPr w:rsidR="00CC6C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7BC1"/>
    <w:rsid w:val="00B17BC1"/>
    <w:rsid w:val="00CC6C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7B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7BC1"/>
    <w:rPr>
      <w:rFonts w:ascii="黑体" w:eastAsia="黑体" w:hAnsi="宋体" w:cs="Times New Roman"/>
      <w:b/>
      <w:kern w:val="36"/>
      <w:sz w:val="32"/>
      <w:szCs w:val="32"/>
    </w:rPr>
  </w:style>
  <w:style w:type="paragraph" w:customStyle="1" w:styleId="Char2CharCharChar">
    <w:name w:val="Char2 Char Char Char"/>
    <w:basedOn w:val="a"/>
    <w:autoRedefine/>
    <w:rsid w:val="00B17BC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2022-07-19T01:38:00Z</dcterms:created>
</cp:coreProperties>
</file>