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5608" w:rsidRDefault="00BE5608" w:rsidP="006C2CAF">
      <w:pPr>
        <w:pStyle w:val="1"/>
        <w:rPr>
          <w:rFonts w:hint="eastAsia"/>
        </w:rPr>
      </w:pPr>
      <w:r w:rsidRPr="006C2CAF">
        <w:rPr>
          <w:rFonts w:hint="eastAsia"/>
        </w:rPr>
        <w:t>四川广元市白龙湖亭子湖生态渔业发展宣传提纲</w:t>
      </w:r>
    </w:p>
    <w:p w:rsidR="00BE5608" w:rsidRDefault="00BE5608" w:rsidP="00BE5608">
      <w:pPr>
        <w:ind w:firstLineChars="200" w:firstLine="420"/>
      </w:pPr>
      <w:r>
        <w:t>1</w:t>
      </w:r>
      <w:r>
        <w:t>、为什么要在白龙湖亭子湖发展生态渔业？</w:t>
      </w:r>
    </w:p>
    <w:p w:rsidR="00BE5608" w:rsidRDefault="00BE5608" w:rsidP="00BE5608">
      <w:pPr>
        <w:ind w:firstLineChars="200" w:firstLine="420"/>
      </w:pPr>
      <w:r>
        <w:rPr>
          <w:rFonts w:hint="eastAsia"/>
        </w:rPr>
        <w:t>白龙湖亭子湖（以下简称“两湖”）总库容</w:t>
      </w:r>
      <w:r>
        <w:t>67.7</w:t>
      </w:r>
      <w:r>
        <w:t>亿立方米，水域面积</w:t>
      </w:r>
      <w:r>
        <w:t>188.8</w:t>
      </w:r>
      <w:r>
        <w:t>平方公里，水资源极其优良，是长江上游重要生态屏障，更是市县城区和沿岸群众的重要饮用水源地。以前大量的网箱养殖对水质造成了严重污染，而且经营网箱的多数是外地商户，真正受到益处的本地群众相当少。市县政府投入两亿多元资金对网箱和违规自建筏钓平台进行取缔、拆除，对水生态环境进行修复治理，</w:t>
      </w:r>
      <w:r>
        <w:t>“</w:t>
      </w:r>
      <w:r>
        <w:t>两湖</w:t>
      </w:r>
      <w:r>
        <w:t>”</w:t>
      </w:r>
      <w:r>
        <w:t>水质得到有效改善，白龙湖达到</w:t>
      </w:r>
      <w:r>
        <w:t>I</w:t>
      </w:r>
      <w:r>
        <w:t>类、亭子湖达到</w:t>
      </w:r>
      <w:r>
        <w:t>Ⅱ</w:t>
      </w:r>
      <w:r>
        <w:t>类水质。如何让</w:t>
      </w:r>
      <w:r>
        <w:t>“</w:t>
      </w:r>
      <w:r>
        <w:t>两湖</w:t>
      </w:r>
      <w:r>
        <w:t>”</w:t>
      </w:r>
      <w:r>
        <w:t>闲置水资源在确保水质安全的前提下得到科学合理利用，经过多方考察和反复论证，市委</w:t>
      </w:r>
      <w:r>
        <w:rPr>
          <w:rFonts w:hint="eastAsia"/>
        </w:rPr>
        <w:t>市政府决定以“人放天养”生态养殖模式，用</w:t>
      </w:r>
      <w:r>
        <w:t>3</w:t>
      </w:r>
      <w:r>
        <w:t>至</w:t>
      </w:r>
      <w:r>
        <w:t>5</w:t>
      </w:r>
      <w:r>
        <w:t>年时间，把</w:t>
      </w:r>
      <w:r>
        <w:t>“</w:t>
      </w:r>
      <w:r>
        <w:t>两湖</w:t>
      </w:r>
      <w:r>
        <w:t>”</w:t>
      </w:r>
      <w:r>
        <w:t>建成中国西部最大的生态淡水有机鱼产业基地</w:t>
      </w:r>
      <w:r>
        <w:t>”</w:t>
      </w:r>
      <w:r>
        <w:t>，打造富硒富锌有机鱼品牌。以生态渔业带动苗种培育、休闲垂钓和涉渔服务业；与生态农业、渔产品精深加工、旅游体验、餐饮美食、储运销售等产业有机融合，延伸产业链；培育涉渔新型经营主体，优先吸纳库区移民参与渔业产业发展，通过解决务工、扶持移民发展涉渔服务业、分配渔业经营利润等方式，建立渔业发展与湖区移民的紧密利益联结和渔业经营收益分配机制，实现经济效益、生态效益和社会效益相统一的目标。</w:t>
      </w:r>
    </w:p>
    <w:p w:rsidR="00BE5608" w:rsidRDefault="00BE5608" w:rsidP="00BE5608">
      <w:pPr>
        <w:ind w:firstLineChars="200" w:firstLine="420"/>
      </w:pPr>
      <w:r>
        <w:t>2</w:t>
      </w:r>
      <w:r>
        <w:t>、</w:t>
      </w:r>
      <w:r>
        <w:t>“</w:t>
      </w:r>
      <w:r>
        <w:t>两湖</w:t>
      </w:r>
      <w:r>
        <w:t>”</w:t>
      </w:r>
      <w:r>
        <w:t>发展生态渔业的模式是什么？</w:t>
      </w:r>
    </w:p>
    <w:p w:rsidR="00BE5608" w:rsidRDefault="00BE5608" w:rsidP="00BE5608">
      <w:pPr>
        <w:ind w:firstLineChars="200" w:firstLine="420"/>
      </w:pPr>
      <w:r>
        <w:rPr>
          <w:rFonts w:hint="eastAsia"/>
        </w:rPr>
        <w:t>“两湖”水域及渔业资源属国有资产。湖区群众一家一户分散经营势必会走网箱养殖污染水质的老路；引进外来企业或由本地民企、私企承包经营，除了上缴一点承包费之外，大部分利润带走了，对当地群众不会带来多少益处，同时企业为了追求利益最大化，难免铤而走险投放饲料、肥料、农药等污染水质。为严格保护水质和经营收益全部用于库区移民发展，市政府决定成立市、县合股的国有独资企业嘉桓渔业公司，市本级占股</w:t>
      </w:r>
      <w:r>
        <w:t>25%</w:t>
      </w:r>
      <w:r>
        <w:t>，按移民数量、淹没面积、经营水面等折算，五县区占股</w:t>
      </w:r>
      <w:r>
        <w:t>75%</w:t>
      </w:r>
      <w:r>
        <w:t>。公司按</w:t>
      </w:r>
      <w:r>
        <w:t>“</w:t>
      </w:r>
      <w:r>
        <w:t>人放天养</w:t>
      </w:r>
      <w:r>
        <w:t>”</w:t>
      </w:r>
      <w:r>
        <w:t>模式和统一投放、统一捕捞、统一标准、统一品牌、</w:t>
      </w:r>
      <w:r>
        <w:rPr>
          <w:rFonts w:hint="eastAsia"/>
        </w:rPr>
        <w:t>统一销售、统一利益分配的“六统一”经营方式，对“两湖”生态渔业进行统一组织和经营管理。其好处一是有利于水质及环境保护；二是有利于企业规模经营并形成产业链；三是有利于生态有机鱼品牌打造提升附加值；四是有利于水上作业安全管理；五是有利于库区移民共享发展渔业成果，原来在湖面从事网箱、筏钓平台经营和捕鱼的移民仅有</w:t>
      </w:r>
      <w:r>
        <w:t>1400</w:t>
      </w:r>
      <w:r>
        <w:t>余人，占</w:t>
      </w:r>
      <w:r>
        <w:t>“</w:t>
      </w:r>
      <w:r>
        <w:t>两湖</w:t>
      </w:r>
      <w:r>
        <w:t>”</w:t>
      </w:r>
      <w:r>
        <w:t>近</w:t>
      </w:r>
      <w:r>
        <w:t>6</w:t>
      </w:r>
      <w:r>
        <w:t>万移民比例</w:t>
      </w:r>
      <w:r>
        <w:t>2%</w:t>
      </w:r>
      <w:r>
        <w:t>左右，沿湖绝大多数移民群众没有从经营水面获益。现在发展生态渔业，除了保障公司正常运转和扣除法定公积金外，将各级财政投资发展生态渔业的经营利润全部反哺用于库区移民群众</w:t>
      </w:r>
      <w:r>
        <w:rPr>
          <w:rFonts w:hint="eastAsia"/>
        </w:rPr>
        <w:t>，真正体现发展“以人民为中心”。</w:t>
      </w:r>
    </w:p>
    <w:p w:rsidR="00BE5608" w:rsidRDefault="00BE5608" w:rsidP="00BE5608">
      <w:pPr>
        <w:ind w:firstLineChars="200" w:firstLine="420"/>
      </w:pPr>
      <w:r>
        <w:t>3</w:t>
      </w:r>
      <w:r>
        <w:t>、过去</w:t>
      </w:r>
      <w:r>
        <w:t>“</w:t>
      </w:r>
      <w:r>
        <w:t>靠水吃饭</w:t>
      </w:r>
      <w:r>
        <w:t>”</w:t>
      </w:r>
      <w:r>
        <w:t>的移民群众现在怎么办？</w:t>
      </w:r>
    </w:p>
    <w:p w:rsidR="00BE5608" w:rsidRDefault="00BE5608" w:rsidP="00BE5608">
      <w:pPr>
        <w:ind w:firstLineChars="200" w:firstLine="420"/>
      </w:pPr>
      <w:r>
        <w:rPr>
          <w:rFonts w:hint="eastAsia"/>
        </w:rPr>
        <w:t>“两湖”原有持证渔船船主</w:t>
      </w:r>
      <w:r>
        <w:t>432</w:t>
      </w:r>
      <w:r>
        <w:t>人和部分用无证渔船打渔的移民，主要通过就业技术培训、参与公司劳务用工、参与垂钓经营、参与涉渔服务业、参与种苗培育、参与经营利润分配等方式解决就业、创业和生活保障问题，尽量优先吸纳参与公司捕捞和日常管护，并鼓励、扶持通过精深加工、储运销售、餐饮美食、休闲旅游等涉渔服务业实现就业和创业来增收致富。</w:t>
      </w:r>
    </w:p>
    <w:p w:rsidR="00BE5608" w:rsidRDefault="00BE5608" w:rsidP="00BE5608">
      <w:pPr>
        <w:ind w:firstLineChars="200" w:firstLine="420"/>
      </w:pPr>
      <w:r>
        <w:t>4</w:t>
      </w:r>
      <w:r>
        <w:t>、</w:t>
      </w:r>
      <w:r>
        <w:t>“</w:t>
      </w:r>
      <w:r>
        <w:t>两湖</w:t>
      </w:r>
      <w:r>
        <w:t>”</w:t>
      </w:r>
      <w:r>
        <w:t>生态渔业经营收益如何分配使用？</w:t>
      </w:r>
    </w:p>
    <w:p w:rsidR="00BE5608" w:rsidRDefault="00BE5608" w:rsidP="00BE5608">
      <w:pPr>
        <w:ind w:firstLineChars="200" w:firstLine="420"/>
      </w:pPr>
      <w:r>
        <w:rPr>
          <w:rFonts w:hint="eastAsia"/>
        </w:rPr>
        <w:t>“两湖”水域及渔业资源属国有资产。市、县（区）政府合股成立国有独资嘉桓渔业公司，授权公司以“人放天养”模式在“两湖”发展生态渔业。渔业经营利润扣除公司</w:t>
      </w:r>
      <w:r>
        <w:t>10%</w:t>
      </w:r>
      <w:r>
        <w:t>法定公积金后，按市、县（区）投资比例分配，市、县（区）分配所得利润分别建立湖区发展专项资金。</w:t>
      </w:r>
      <w:r>
        <w:t>“</w:t>
      </w:r>
      <w:r>
        <w:t>两湖</w:t>
      </w:r>
      <w:r>
        <w:t>”</w:t>
      </w:r>
      <w:r>
        <w:t>库区移民在全面享受国家现行移民、扶贫、民政、医疗、教育、就业等现有扶持政策的基础上，同时享受</w:t>
      </w:r>
      <w:r>
        <w:t>“</w:t>
      </w:r>
      <w:r>
        <w:t>两湖</w:t>
      </w:r>
      <w:r>
        <w:t>”</w:t>
      </w:r>
      <w:r>
        <w:t>生态渔业经营收益分配使用政策。</w:t>
      </w:r>
    </w:p>
    <w:p w:rsidR="00BE5608" w:rsidRDefault="00BE5608" w:rsidP="00BE5608">
      <w:pPr>
        <w:ind w:firstLineChars="200" w:firstLine="420"/>
      </w:pPr>
      <w:r>
        <w:rPr>
          <w:rFonts w:hint="eastAsia"/>
        </w:rPr>
        <w:t>市本级湖区发展专项资金用途：用于库区移民发展特色优势产业补助；用于库区发展生态康养旅游标准化建设奖补；用于“两湖”污水、垃圾处理设施设备运营补贴；用于解决库区移民就业的企业或其他经济组织补助。市本级专项发展资金由市政府按年度审定公示后实施。</w:t>
      </w:r>
    </w:p>
    <w:p w:rsidR="00BE5608" w:rsidRDefault="00BE5608" w:rsidP="00BE5608">
      <w:pPr>
        <w:ind w:firstLineChars="200" w:firstLine="420"/>
      </w:pPr>
      <w:r>
        <w:rPr>
          <w:rFonts w:hint="eastAsia"/>
        </w:rPr>
        <w:t>县区湖区发展专项资金用途：①</w:t>
      </w:r>
      <w:r>
        <w:t>20%</w:t>
      </w:r>
      <w:r>
        <w:t>资金用于库区移民生产生活困难救助。库区移民在享受现有国家相关扶持政策的同时，可向当地乡镇政府提出申请，外迁移民可向原迁出地乡镇政府提出申请，特别困难的移民可以在一般救助标准的基础上提高</w:t>
      </w:r>
      <w:r>
        <w:t>20%</w:t>
      </w:r>
      <w:r>
        <w:t>。</w:t>
      </w:r>
      <w:r>
        <w:t>②30%</w:t>
      </w:r>
      <w:r>
        <w:t>资金用于支持居住广元市范围内的</w:t>
      </w:r>
      <w:r>
        <w:t>“</w:t>
      </w:r>
      <w:r>
        <w:t>两湖</w:t>
      </w:r>
      <w:r>
        <w:t>”</w:t>
      </w:r>
      <w:r>
        <w:t>库区移民发展产业小额贷款贴息。参照脱贫攻坚小额信贷模式，鼓励金融机构向居住在广元市范围内的移民发放额度不超过</w:t>
      </w:r>
      <w:r>
        <w:t>5</w:t>
      </w:r>
      <w:r>
        <w:t>万元的小额贷款，支持发展特色产业以及餐饮、运输、零售等服务业。县（区）在同期同档次基准利率基础上上浮</w:t>
      </w:r>
      <w:r>
        <w:t>20%</w:t>
      </w:r>
      <w:r>
        <w:t>的范围内向贷款移民贴</w:t>
      </w:r>
      <w:r>
        <w:rPr>
          <w:rFonts w:hint="eastAsia"/>
        </w:rPr>
        <w:t>息，贴息期限最长不超过</w:t>
      </w:r>
      <w:r>
        <w:t>3</w:t>
      </w:r>
      <w:r>
        <w:t>年。已申请扶贫小额信贷并承贷的移民贫困户不重复申请。</w:t>
      </w:r>
      <w:r>
        <w:t>③50%</w:t>
      </w:r>
      <w:r>
        <w:t>资金用于移民村（社区、聚集区）发展集体经济。县（区）根据年度生态渔业经营收益分配情况，分期、分批安排移民村（社区、聚集区）发展集体经济，优先安排集体经济较薄弱的移民村（社区、聚集区），持续发展壮大移民村（社区、聚集区）集体经济。集体经济收益提取公积金、公益金后，合理分配给本村（社区、聚集区）群众，包括在市内无土异地安置的移民。</w:t>
      </w:r>
    </w:p>
    <w:p w:rsidR="00BE5608" w:rsidRDefault="00BE5608" w:rsidP="00BE5608">
      <w:pPr>
        <w:ind w:firstLineChars="200" w:firstLine="420"/>
      </w:pPr>
      <w:r>
        <w:rPr>
          <w:rFonts w:hint="eastAsia"/>
        </w:rPr>
        <w:t>资金监管：各县（区）负责制定本县区湖区发展专项资金具体使用办法，明确资金用途、范围、对象，每年要将专项资金分配使用情况在沿湖乡镇、重点村（社区）至少公示公开</w:t>
      </w:r>
      <w:r>
        <w:t>1</w:t>
      </w:r>
      <w:r>
        <w:t>次并在政府网站公示，广泛接受社会和群众监督。市嘉桓渔业公司生产经营情况、经营利润分配情况、用工及支出情况要按年度公开，并接受公司监事会和移民外聘监事监督。市、县（区）财政、审计、监察等部门要加强对专项资金使用情况的监督检查，重点检查是否专款专用，是否存在截留、挤占、挪用等违纪违规行为。各级各相关部门要强化湖区发展专项资金管理，对因工作不力造成资金损</w:t>
      </w:r>
      <w:r>
        <w:rPr>
          <w:rFonts w:hint="eastAsia"/>
        </w:rPr>
        <w:t>失、浪费的单位或个人，依法依规严肃问责处理。</w:t>
      </w:r>
    </w:p>
    <w:p w:rsidR="00BE5608" w:rsidRDefault="00BE5608" w:rsidP="00BE5608">
      <w:pPr>
        <w:ind w:firstLineChars="200" w:firstLine="420"/>
      </w:pPr>
      <w:r>
        <w:t>5</w:t>
      </w:r>
      <w:r>
        <w:t>、嘉桓渔业公司以什么方式捕捞？</w:t>
      </w:r>
    </w:p>
    <w:p w:rsidR="00BE5608" w:rsidRDefault="00BE5608" w:rsidP="00BE5608">
      <w:pPr>
        <w:ind w:firstLineChars="200" w:firstLine="420"/>
      </w:pPr>
      <w:r>
        <w:rPr>
          <w:rFonts w:hint="eastAsia"/>
        </w:rPr>
        <w:t>嘉桓渔业公司按年度制定当年的捕捞方案，报市渔业行政主管部门审批同意后，在沿湖进行提前公示公告。公司的捕捞队伍除核心技术团队（不足十人）外聘，其余捕捞人员全部从湖区移民中选聘（优先聘用原持证渔船船主），技术培训合格后上岗参与捕捞工作。</w:t>
      </w:r>
    </w:p>
    <w:p w:rsidR="00BE5608" w:rsidRDefault="00BE5608" w:rsidP="00BE5608">
      <w:pPr>
        <w:ind w:firstLineChars="200" w:firstLine="420"/>
      </w:pPr>
      <w:r>
        <w:rPr>
          <w:rFonts w:hint="eastAsia"/>
        </w:rPr>
        <w:t>今年首次捕捞时间段为</w:t>
      </w:r>
      <w:r>
        <w:t>2017</w:t>
      </w:r>
      <w:r>
        <w:t>年</w:t>
      </w:r>
      <w:r>
        <w:t>12</w:t>
      </w:r>
      <w:r>
        <w:t>月至</w:t>
      </w:r>
      <w:r>
        <w:t>2018</w:t>
      </w:r>
      <w:r>
        <w:t>年</w:t>
      </w:r>
      <w:r>
        <w:t>2</w:t>
      </w:r>
      <w:r>
        <w:t>月，根据去年公司投放鱼苗长势跟踪监测，按照</w:t>
      </w:r>
      <w:r>
        <w:t>“</w:t>
      </w:r>
      <w:r>
        <w:t>捕大留小，轮捕轮放，合理库存，生态平衡</w:t>
      </w:r>
      <w:r>
        <w:t>”</w:t>
      </w:r>
      <w:r>
        <w:t>的原则，主要捕捞尾重</w:t>
      </w:r>
      <w:r>
        <w:t>3</w:t>
      </w:r>
      <w:r>
        <w:t>斤以上的花、白鲢。捕捞方式采用</w:t>
      </w:r>
      <w:r>
        <w:t>"</w:t>
      </w:r>
      <w:r>
        <w:t>赶、拦、刺、张</w:t>
      </w:r>
      <w:r>
        <w:t>"</w:t>
      </w:r>
      <w:r>
        <w:t>联合渔法，该方法所捕渔获物新鲜集中，伤损率低，是目前捕捞花、白鲢等中上层鱼类的最有效，国内大水面应用最广泛的捕捞方法。具体操作是在库区的某一水域，通过拦网、赶鱼工具及刺网类渔具的配合作业，有计划、按程序将分散在该水域处的鱼类依设计的方向、路线，赶进预先设置好的定置张网中，达到集中捕鱼的目的。市县（区）农</w:t>
      </w:r>
      <w:r>
        <w:rPr>
          <w:rFonts w:hint="eastAsia"/>
        </w:rPr>
        <w:t>业和湖区管理部门将对公司捕捞行为进行全程监管，同时欢迎广大湖区群众及社会各界人士进行现场监督。</w:t>
      </w:r>
    </w:p>
    <w:p w:rsidR="00BE5608" w:rsidRDefault="00BE5608" w:rsidP="00BE5608">
      <w:pPr>
        <w:ind w:firstLineChars="200" w:firstLine="420"/>
      </w:pPr>
      <w:r>
        <w:t>6</w:t>
      </w:r>
      <w:r>
        <w:t>、嘉桓渔业公司每年投放和捕捞鱼的种类、密度如何确定？会不会过度捕捞导致无鱼可钓？</w:t>
      </w:r>
    </w:p>
    <w:p w:rsidR="00BE5608" w:rsidRDefault="00BE5608" w:rsidP="00BE5608">
      <w:pPr>
        <w:ind w:firstLineChars="200" w:firstLine="420"/>
      </w:pPr>
      <w:r>
        <w:rPr>
          <w:rFonts w:hint="eastAsia"/>
        </w:rPr>
        <w:t>嘉桓渔业公司已与中国社科院水生生物研究所和四川省水产学院进行技术合作，成立“两湖”生态渔业院士（专家）工作站，依托亭子口增殖放流站和沿湖一、二、三级种苗繁育培育基地，对花、白鲢和其他适钓鱼种进行苗种培育。科研团队根据水体内浮游生物的种类和数量，以及现有鱼类种群结构情况，制定年度投放和捕捞计划，报渔政主管部门审批。嘉桓渔业公司按渔政主管部门审批的方案公示后实行投放和捕捞工作。</w:t>
      </w:r>
    </w:p>
    <w:p w:rsidR="00BE5608" w:rsidRDefault="00BE5608" w:rsidP="00BE5608">
      <w:pPr>
        <w:ind w:firstLineChars="200" w:firstLine="420"/>
      </w:pPr>
      <w:r>
        <w:rPr>
          <w:rFonts w:hint="eastAsia"/>
        </w:rPr>
        <w:t>渔业公司向两湖投放鱼苗以花、白鲢为主。</w:t>
      </w:r>
      <w:r>
        <w:t>2017</w:t>
      </w:r>
      <w:r>
        <w:t>年首次投放花、白鲢</w:t>
      </w:r>
      <w:r>
        <w:t>200</w:t>
      </w:r>
      <w:r>
        <w:t>万斤约</w:t>
      </w:r>
      <w:r>
        <w:t>230</w:t>
      </w:r>
      <w:r>
        <w:t>万尾，</w:t>
      </w:r>
      <w:r>
        <w:t>2018</w:t>
      </w:r>
      <w:r>
        <w:t>年计划投放花、白鲢</w:t>
      </w:r>
      <w:r>
        <w:t>400</w:t>
      </w:r>
      <w:r>
        <w:t>万斤约</w:t>
      </w:r>
      <w:r>
        <w:t>500</w:t>
      </w:r>
      <w:r>
        <w:t>万尾，并按库存花、白链总量的</w:t>
      </w:r>
      <w:r>
        <w:t>5%</w:t>
      </w:r>
      <w:r>
        <w:t>比例投放草、鲤、鲫鱼苗。根据</w:t>
      </w:r>
      <w:r>
        <w:t>“</w:t>
      </w:r>
      <w:r>
        <w:t>两湖</w:t>
      </w:r>
      <w:r>
        <w:t>”</w:t>
      </w:r>
      <w:r>
        <w:t>渔业发展规划和水情、渔情的变化，渔业公司每年向</w:t>
      </w:r>
      <w:r>
        <w:t>“</w:t>
      </w:r>
      <w:r>
        <w:t>两湖</w:t>
      </w:r>
      <w:r>
        <w:t>”</w:t>
      </w:r>
      <w:r>
        <w:t>投放中华倒刺鲃、华鲮、白甲鱼、岩原鲤、长吻鮠等各类珍稀鱼类</w:t>
      </w:r>
      <w:r>
        <w:t>40</w:t>
      </w:r>
      <w:r>
        <w:t>万尾以上，投放翘壳、草、鲤、鲫等适钓鱼种</w:t>
      </w:r>
      <w:r>
        <w:t>300</w:t>
      </w:r>
      <w:r>
        <w:t>万尾以上；市、县（区）农业部门每年也会向</w:t>
      </w:r>
      <w:r>
        <w:t>“</w:t>
      </w:r>
      <w:r>
        <w:t>两湖</w:t>
      </w:r>
      <w:r>
        <w:t>”</w:t>
      </w:r>
      <w:r>
        <w:t>增殖放流各类小规格鱼苗</w:t>
      </w:r>
      <w:r>
        <w:t>500</w:t>
      </w:r>
      <w:r>
        <w:t>－</w:t>
      </w:r>
      <w:r>
        <w:t>600</w:t>
      </w:r>
      <w:r>
        <w:t>万尾，保持规划放养密度和鱼种比例。今后还将根据水质情况择优放养</w:t>
      </w:r>
      <w:r>
        <w:rPr>
          <w:rFonts w:hint="eastAsia"/>
        </w:rPr>
        <w:t>综合效益高的经济鱼类。</w:t>
      </w:r>
    </w:p>
    <w:p w:rsidR="00BE5608" w:rsidRDefault="00BE5608" w:rsidP="00BE5608">
      <w:pPr>
        <w:ind w:firstLineChars="200" w:firstLine="420"/>
      </w:pPr>
      <w:r>
        <w:rPr>
          <w:rFonts w:hint="eastAsia"/>
        </w:rPr>
        <w:t>年度捕捞量的确定必须坚持“捕捞量低于渔业资源增长量和总量控制”的原则，渔政行政主管部门对捕捞计划严格审批把关，不会出现过度捕捞的现象。嘉桓渔业公司对“两湖”生态鱼进行轮捕轮放，每年按捕捞出成鱼尾数的</w:t>
      </w:r>
      <w:r>
        <w:t>1.1</w:t>
      </w:r>
      <w:r>
        <w:t>倍以上补放鱼苗，使</w:t>
      </w:r>
      <w:r>
        <w:t>“</w:t>
      </w:r>
      <w:r>
        <w:t>两湖</w:t>
      </w:r>
      <w:r>
        <w:t>”</w:t>
      </w:r>
      <w:r>
        <w:t>各类鱼的种群数量保持在合理范围，不会导致渔业资源枯竭，也不会出现无鱼可钓的现象。今年第一次捕捞，主捕品种为禁钓的花白链，捕捞后立即投放适钓鱼类，对适钓鱼类没有影响。</w:t>
      </w:r>
    </w:p>
    <w:p w:rsidR="00BE5608" w:rsidRDefault="00BE5608" w:rsidP="00BE5608">
      <w:pPr>
        <w:ind w:firstLineChars="200" w:firstLine="420"/>
      </w:pPr>
      <w:r>
        <w:t>7</w:t>
      </w:r>
      <w:r>
        <w:t>、政府和群众如何对嘉桓渔业公司实施监管？</w:t>
      </w:r>
    </w:p>
    <w:p w:rsidR="00BE5608" w:rsidRDefault="00BE5608" w:rsidP="00BE5608">
      <w:pPr>
        <w:ind w:firstLineChars="200" w:firstLine="420"/>
      </w:pPr>
      <w:r>
        <w:rPr>
          <w:rFonts w:hint="eastAsia"/>
        </w:rPr>
        <w:t>政府考核嘉桓渔业公司不仅仅是考核经济指标，重要的是考核生态效益指标和社会效益指标，对经济指标的考核也侧重于其品牌的打造和附加值的提升。</w:t>
      </w:r>
    </w:p>
    <w:p w:rsidR="00BE5608" w:rsidRDefault="00BE5608" w:rsidP="00BE5608">
      <w:pPr>
        <w:ind w:firstLineChars="200" w:firstLine="420"/>
      </w:pPr>
      <w:r>
        <w:rPr>
          <w:rFonts w:hint="eastAsia"/>
        </w:rPr>
        <w:t>具体监管主要有四种方式：一是制度约束。制定配套政策和管理办法等规章，建立财务、审计、董事会、监事会（外聘监事）等制度，对嘉桓渔业公司的经营和管理行为进行全面监管。二是参与经营决策。嘉桓渔业公司成立董事会、监事会，市、县（区）政府分别派出董事、监事，参与公司经营决策和监督管理。每个县区选派两名移民代表作为嘉桓渔业公司外派监事，对公司的鱼苗投放、捕捞、销售、利润核算及分配等生产经营行为进行全方位监督。三是环保监管。环保部门对“两湖”水质进行严格监测，白龙湖出水断面需长期保持在Ⅰ类，亭子湖出水断面需保持在Ⅱ类并有所提高。严禁公司投放饲料、药物、肥料等，发现水质恶化严肃处理，直到取消其经营权。四是从是否让利群众方面进行监管。对嘉桓渔业公司用工是否优先考虑湖区群众、钓鱼平台收费是否合理、经营利润是否有截留挪用等方面加强监管。</w:t>
      </w:r>
    </w:p>
    <w:p w:rsidR="00BE5608" w:rsidRDefault="00BE5608" w:rsidP="00BE5608">
      <w:pPr>
        <w:ind w:firstLineChars="200" w:firstLine="420"/>
      </w:pPr>
      <w:r>
        <w:t>8</w:t>
      </w:r>
      <w:r>
        <w:t>、</w:t>
      </w:r>
      <w:r>
        <w:t>“</w:t>
      </w:r>
      <w:r>
        <w:t>两湖</w:t>
      </w:r>
      <w:r>
        <w:t>”</w:t>
      </w:r>
      <w:r>
        <w:t>垂钓如何管理？</w:t>
      </w:r>
    </w:p>
    <w:p w:rsidR="00BE5608" w:rsidRDefault="00BE5608" w:rsidP="00BE5608">
      <w:pPr>
        <w:ind w:firstLineChars="200" w:firstLine="420"/>
      </w:pPr>
      <w:r>
        <w:rPr>
          <w:rFonts w:hint="eastAsia"/>
        </w:rPr>
        <w:t>为了促进“两湖”休闲垂钓产业健康有序发展，带动沿湖群众增收致富，必须规范管理垂钓活动。去年以来，市政府及相关部门出台了《关于整治白龙湖亭子湖违规建设项目和规范渔业经营秩序的通告》《白龙湖亭子湖垂钓布点规划》《白龙湖亭子湖垂钓管理暂行规定》，对“两湖”垂钓如何管理作出了详细的说明和要求。一是垂钓活动只能在规划确定的范围内进行，禁止在规划范围和地点外进行垂钓。二是规范建设陆岸相对固定钓鱼平台。沿湖农户可以个体或专业合作社为主体，向所在乡镇政府提出钓鱼平台建设和经营申请，经县区相关职能部门联合审批后，抄送嘉桓渔业公司备案取得经营管理资格。三是经营业主在垂钓区域内设置厕所、垃圾箱、安全设施等配套设施设备，并经验收合格后方可进行垂钓经营活动。四是实行有偿垂钓。钓鱼平台经营协会或业主根据市场行情，向垂钓者收取垂钓费用和餐饮、住宿等其他服务费用。嘉桓渔业公司按年度向经营户收取经营管理费用，用于渔业资源补偿、垃圾清运处理和为垂钓者购买安全保险。其中</w:t>
      </w:r>
      <w:r>
        <w:t>50%</w:t>
      </w:r>
      <w:r>
        <w:t>拨付给乡镇建立的垂钓产业协会或经营主体，用于对垂钓所产生垃圾的打捞、收集、清运、无害化处理以及垂钓安全管理；</w:t>
      </w:r>
      <w:r>
        <w:t>20%</w:t>
      </w:r>
      <w:r>
        <w:t>拨付给乡镇政府，用于垂钓产业的发展和日常监管、安全监管以</w:t>
      </w:r>
      <w:r>
        <w:rPr>
          <w:rFonts w:hint="eastAsia"/>
        </w:rPr>
        <w:t>及协助渔政、公安、海事等部门开展护鱼执法工作；</w:t>
      </w:r>
      <w:r>
        <w:t>30%</w:t>
      </w:r>
      <w:r>
        <w:t>由渔业公司用于适钓鱼类的增殖放流。</w:t>
      </w:r>
    </w:p>
    <w:p w:rsidR="00BE5608" w:rsidRDefault="00BE5608" w:rsidP="00BE5608">
      <w:pPr>
        <w:ind w:firstLineChars="200" w:firstLine="420"/>
      </w:pPr>
      <w:r>
        <w:t>9</w:t>
      </w:r>
      <w:r>
        <w:t>、库区移民群众可以下网捕鱼吗？</w:t>
      </w:r>
    </w:p>
    <w:p w:rsidR="00BE5608" w:rsidRDefault="00BE5608" w:rsidP="00BE5608">
      <w:pPr>
        <w:ind w:firstLineChars="200" w:firstLine="420"/>
        <w:rPr>
          <w:rFonts w:hint="eastAsia"/>
        </w:rPr>
      </w:pPr>
      <w:r>
        <w:rPr>
          <w:rFonts w:hint="eastAsia"/>
        </w:rPr>
        <w:t>“两湖”水域及渔业资源属国有资产。市政府将“两湖”水产养殖经营权行政许可给嘉桓渔业公司，授权嘉桓渔业公司负责“两湖”生态渔业发展。嘉桓渔业公司是市、县（区）政府合股成立的国有独资企业，已依法取得五县区办理的《滩涂养殖许可证》，其经营管理的“两湖”渔业资源是市政府和沿湖五个县区政府共同所有的国有资产，严禁任何单位和个人偷捕盗捕和毒鱼、电鱼、炸鱼等违法行为，违者将依据相关法律法规，由公安、渔政等执法部门依法打击和处罚。原持证渔船船主和愿意从事捕捞工作的库区移民，可通过竞聘进入公司捕捞队，由公司组织统一捕捞，获得劳务报酬。</w:t>
      </w:r>
    </w:p>
    <w:p w:rsidR="00BE5608" w:rsidRDefault="00BE5608" w:rsidP="006C2CAF">
      <w:pPr>
        <w:ind w:firstLine="420"/>
        <w:jc w:val="right"/>
        <w:rPr>
          <w:rFonts w:hint="eastAsia"/>
        </w:rPr>
      </w:pPr>
      <w:r w:rsidRPr="006C2CAF">
        <w:rPr>
          <w:rFonts w:hint="eastAsia"/>
        </w:rPr>
        <w:t>苍溪新闻网</w:t>
      </w:r>
      <w:smartTag w:uri="urn:schemas-microsoft-com:office:smarttags" w:element="chsdate">
        <w:smartTagPr>
          <w:attr w:name="Year" w:val="2017"/>
          <w:attr w:name="Month" w:val="12"/>
          <w:attr w:name="Day" w:val="26"/>
          <w:attr w:name="IsLunarDate" w:val="False"/>
          <w:attr w:name="IsROCDate" w:val="False"/>
        </w:smartTagPr>
        <w:r>
          <w:rPr>
            <w:rFonts w:hint="eastAsia"/>
          </w:rPr>
          <w:t>2017-12-26</w:t>
        </w:r>
      </w:smartTag>
    </w:p>
    <w:p w:rsidR="00BE5608" w:rsidRDefault="00BE5608" w:rsidP="00F63B65">
      <w:pPr>
        <w:sectPr w:rsidR="00BE5608" w:rsidSect="00F63B65">
          <w:type w:val="continuous"/>
          <w:pgSz w:w="11906" w:h="16838" w:code="9"/>
          <w:pgMar w:top="1644" w:right="1236" w:bottom="1418" w:left="1814" w:header="851" w:footer="907" w:gutter="0"/>
          <w:pgNumType w:start="1"/>
          <w:cols w:space="425"/>
          <w:docGrid w:type="lines" w:linePitch="341" w:charSpace="2373"/>
        </w:sectPr>
      </w:pPr>
    </w:p>
    <w:p w:rsidR="00A42B96" w:rsidRDefault="00A42B96"/>
    <w:sectPr w:rsidR="00A42B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5608"/>
    <w:rsid w:val="00A42B96"/>
    <w:rsid w:val="00BE56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E56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E5608"/>
    <w:rPr>
      <w:rFonts w:ascii="黑体" w:eastAsia="黑体" w:hAnsi="宋体" w:cs="Times New Roman"/>
      <w:b/>
      <w:kern w:val="36"/>
      <w:sz w:val="32"/>
      <w:szCs w:val="32"/>
    </w:rPr>
  </w:style>
  <w:style w:type="paragraph" w:customStyle="1" w:styleId="Char2CharCharChar">
    <w:name w:val="Char2 Char Char Char"/>
    <w:basedOn w:val="a"/>
    <w:autoRedefine/>
    <w:rsid w:val="00BE560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715</Words>
  <Characters>4082</Characters>
  <Application>Microsoft Office Word</Application>
  <DocSecurity>0</DocSecurity>
  <Lines>34</Lines>
  <Paragraphs>9</Paragraphs>
  <ScaleCrop>false</ScaleCrop>
  <Company/>
  <LinksUpToDate>false</LinksUpToDate>
  <CharactersWithSpaces>4788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2022-07-21T06:27:00Z</dcterms:created>
</cp:coreProperties>
</file>