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42A5" w:rsidRDefault="00C942A5" w:rsidP="007E7B5E">
      <w:pPr>
        <w:pStyle w:val="1"/>
        <w:rPr>
          <w:rFonts w:hint="eastAsia"/>
        </w:rPr>
      </w:pPr>
      <w:r w:rsidRPr="007E7B5E">
        <w:rPr>
          <w:rFonts w:hint="eastAsia"/>
        </w:rPr>
        <w:t>助力智慧农业发展须金融发力</w:t>
      </w:r>
    </w:p>
    <w:p w:rsidR="00C942A5" w:rsidRDefault="00C942A5" w:rsidP="00C942A5">
      <w:pPr>
        <w:ind w:firstLineChars="200" w:firstLine="420"/>
      </w:pPr>
      <w:r>
        <w:rPr>
          <w:rFonts w:hint="eastAsia"/>
        </w:rPr>
        <w:t>“智慧农业</w:t>
      </w:r>
      <w:r>
        <w:t>(000816,</w:t>
      </w:r>
      <w:r>
        <w:t>股吧</w:t>
      </w:r>
      <w:r>
        <w:t>)”</w:t>
      </w:r>
      <w:r>
        <w:t>是指运用新兴的互联网、云计算和物联网技术，实现农业生产的精准化种植、可视化管理、智能化决策，提高农业生产的精细化管理及农产品</w:t>
      </w:r>
      <w:r>
        <w:t>(000061,</w:t>
      </w:r>
      <w:r>
        <w:t>股吧</w:t>
      </w:r>
      <w:r>
        <w:t>)</w:t>
      </w:r>
      <w:r>
        <w:t>的安全与品质，是农业现代化的发展趋势。</w:t>
      </w:r>
      <w:r>
        <w:t>2017</w:t>
      </w:r>
      <w:r>
        <w:t>年中央一号文件《中共中央国务院关于深入推进农业供给侧结构性改革加快培育农业农村发展新动能的若干意见》中，提出了强化农业科技推广、实施智慧农业工程的指导意见，因此，如何推动智慧农业发展成为值得关注的课题。据调研，目前智慧农业发展还处于起步阶段，亟须加快金融创新步伐，加大对智慧农业的金融</w:t>
      </w:r>
      <w:r>
        <w:rPr>
          <w:rFonts w:hint="eastAsia"/>
        </w:rPr>
        <w:t>支持力度，助推农业供给侧结构性改革。</w:t>
      </w:r>
    </w:p>
    <w:p w:rsidR="00C942A5" w:rsidRDefault="00C942A5" w:rsidP="00C942A5">
      <w:pPr>
        <w:ind w:firstLineChars="200" w:firstLine="420"/>
      </w:pPr>
      <w:r>
        <w:rPr>
          <w:rFonts w:hint="eastAsia"/>
        </w:rPr>
        <w:t>金融创新滞后</w:t>
      </w:r>
    </w:p>
    <w:p w:rsidR="00C942A5" w:rsidRDefault="00C942A5" w:rsidP="00C942A5">
      <w:pPr>
        <w:ind w:firstLineChars="200" w:firstLine="420"/>
      </w:pPr>
      <w:r>
        <w:rPr>
          <w:rFonts w:hint="eastAsia"/>
        </w:rPr>
        <w:t>目前，智慧农业处于试验示范阶段，尚未得到成熟的商业推广，发展前景存在着诸多制约因素。如，科技理念和行业标准滞后，科技研发和应用推广面临资金瓶颈，配套扶持政策不到位等。而金融产品创新滞后也造成支持智慧农业发展乏力。一方面信贷支持乏力，金融机构发放的农业科技贷款余额占涉农贷款的比重低，另一方面贷款抵押品范围狭窄。主要体现在，涉农金融机构在风险管控的硬约束下，把担保抵押资产是否充足作为授信的主要条件，抵押物倾向于房产等固定抵押物。</w:t>
      </w:r>
    </w:p>
    <w:p w:rsidR="00C942A5" w:rsidRDefault="00C942A5" w:rsidP="00C942A5">
      <w:pPr>
        <w:ind w:firstLineChars="200" w:firstLine="420"/>
      </w:pPr>
      <w:r>
        <w:rPr>
          <w:rFonts w:hint="eastAsia"/>
        </w:rPr>
        <w:t>对于智慧农业链条的上游企业而言，专利权等知识产权无疑是企业最有价值的可供抵押的财富，但是在辖区缺少专业性的专利、新技术等知识产权评估机构、评估标准及知识产权交易市场，知识产权的价值难以准确界定，知识产权无法通过正规渠道进行交易。对于农业经营主体而言，普遍缺少符合银行贷款门槛的固定抵押物，涉农金融机构发放的种植大棚、机械设备等物权抵押贷款由于资产处置难度大而基本局限于消化存量贷款，新增物权抵押贷款很少；农村承包土地经营权贷款也受制于配套机制不健全而没有取得突破性进展，致使智慧农业应用推广环节难以从银行获得贷款支持。</w:t>
      </w:r>
    </w:p>
    <w:p w:rsidR="00C942A5" w:rsidRDefault="00C942A5" w:rsidP="00C942A5">
      <w:pPr>
        <w:ind w:firstLineChars="200" w:firstLine="420"/>
      </w:pPr>
      <w:r>
        <w:rPr>
          <w:rFonts w:hint="eastAsia"/>
        </w:rPr>
        <w:t>构建多层次融资平台</w:t>
      </w:r>
    </w:p>
    <w:p w:rsidR="00C942A5" w:rsidRDefault="00C942A5" w:rsidP="00C942A5">
      <w:pPr>
        <w:ind w:firstLineChars="200" w:firstLine="420"/>
      </w:pPr>
      <w:r>
        <w:rPr>
          <w:rFonts w:hint="eastAsia"/>
        </w:rPr>
        <w:t>智慧农业作为农业发展的高端形态，需经过培育、发展和成熟的过程，亟待从配套政策扶持、技术研发推广、金融创新支持等方面多管齐下，协同推进，助力智慧农业加快发展。</w:t>
      </w:r>
    </w:p>
    <w:p w:rsidR="00C942A5" w:rsidRDefault="00C942A5" w:rsidP="00C942A5">
      <w:pPr>
        <w:ind w:firstLineChars="200" w:firstLine="420"/>
      </w:pPr>
      <w:r>
        <w:rPr>
          <w:rFonts w:hint="eastAsia"/>
        </w:rPr>
        <w:t>在建立智慧农业发展协调机制，加强规划引领的基础上，切实发挥配套政策扶持。智慧农业具有一次性投入大、受益面广和公益性强等特点，可借鉴国外发达国家发展智慧农业经验，强化政府部门在智慧农业发展中的政策导向和资金支持。应加大财政扶持力度，财政专向资金重点支持云计算、大数据、移动互联网、物联网等智慧产业技术在农业生产经营、农产品市场流通和农产品安全监管中的应用，由财政出资建立智慧农业贷款奖励基金，对智慧农业贷款增幅较大的金融机构给予相应的奖励措施，鼓励金融机构加快智慧农业金融产品与服务方式创新。同时，应完善土地经营权流转相关配套制度。尽快建立健全土地流转中心、专业评估机构及抵押登记部门，因地制宜发展农业生产的规模化和集约化，为推动智慧农业发展创造条件。还须加强知识产权交易市场的配套服务，推进政策法规、融资担保、专业评估等体系建设，加速农业科技成果转化。</w:t>
      </w:r>
    </w:p>
    <w:p w:rsidR="00C942A5" w:rsidRDefault="00C942A5" w:rsidP="00C942A5">
      <w:pPr>
        <w:ind w:firstLineChars="200" w:firstLine="420"/>
      </w:pPr>
      <w:r>
        <w:rPr>
          <w:rFonts w:hint="eastAsia"/>
        </w:rPr>
        <w:t>应构建多层次融资平台，推动技术研发和应用。逐步构建风险投资、担保基金、债券市场的多元化融资平台是破解智慧农业融资难的重要途径。一是建立健全风险投资体系。采取私募和公募相结合的方式，吸引和支持风险投资、私募股权投资、产业股权投资基金参与智慧农业重点企业和项目的投资。二是推动智慧农业产业链条扩大直接融资渠道。积极推动企业采取集合票据、集合债券、短期融资券等直接融资工具，改变过度依赖银行贷款的困境，拓展融资渠道，降低财务成本。三是积极推动担保体系建设。加快建立包括财政出资和社会资金投入的多层次风险分担机制。建立智慧农业担保专项基金，完善担保机构的资本注入、风险补偿机制。</w:t>
      </w:r>
    </w:p>
    <w:p w:rsidR="00C942A5" w:rsidRDefault="00C942A5" w:rsidP="00C942A5">
      <w:pPr>
        <w:ind w:firstLineChars="200" w:firstLine="420"/>
      </w:pPr>
      <w:r>
        <w:rPr>
          <w:rFonts w:hint="eastAsia"/>
        </w:rPr>
        <w:t>加快金融创新步伐</w:t>
      </w:r>
    </w:p>
    <w:p w:rsidR="00C942A5" w:rsidRDefault="00C942A5" w:rsidP="00C942A5">
      <w:pPr>
        <w:ind w:firstLineChars="200" w:firstLine="420"/>
      </w:pPr>
      <w:r>
        <w:rPr>
          <w:rFonts w:hint="eastAsia"/>
        </w:rPr>
        <w:t>商业银行要立足区域农业生产特点和农业经营主体的多样化需求，加快金融产品和服务方式创新步伐。</w:t>
      </w:r>
    </w:p>
    <w:p w:rsidR="00C942A5" w:rsidRDefault="00C942A5" w:rsidP="00C942A5">
      <w:pPr>
        <w:ind w:firstLineChars="200" w:firstLine="420"/>
      </w:pPr>
      <w:r>
        <w:rPr>
          <w:rFonts w:hint="eastAsia"/>
        </w:rPr>
        <w:t>创新融资担保方式。积极探索知识产权质押贷款，推动对拥有自主知识产权的农业科技创新型企业办理无形资产质押贷款品种，支持智慧农业科技研发和重点突破精准农业生产技术、实时监测与控制技术、食品溯源防伪技术等关键技术，有效解决物联网感知点上数据高效传输及功耗关键问题，降低应用成本。加快推进承包土地经营权、种植大棚、农业机械设备等为标的的抵押担保方式，制定相关贷款操作流程及风险防范措施，扩大抵押品种范围，有效解决农业经营主体抵押物不足问题。</w:t>
      </w:r>
    </w:p>
    <w:p w:rsidR="00C942A5" w:rsidRDefault="00C942A5" w:rsidP="00C942A5">
      <w:pPr>
        <w:ind w:firstLineChars="200" w:firstLine="420"/>
      </w:pPr>
      <w:r>
        <w:rPr>
          <w:rFonts w:hint="eastAsia"/>
        </w:rPr>
        <w:t>同时，创新信贷融资产品。结合互联网订单、供应链订单等新型订单农业模式，推动供应链融资、互联网订单质押、仓单质押贷款，对技术先进、优势明显、带动和支撑作用强的智慧农业项目优先给予信贷支持，支持物美价廉、简易实用</w:t>
      </w:r>
      <w:r>
        <w:t>APP</w:t>
      </w:r>
      <w:r>
        <w:t>的开发，实现数据处理与用户群个性化需求的有效对接。</w:t>
      </w:r>
    </w:p>
    <w:p w:rsidR="00C942A5" w:rsidRDefault="00C942A5" w:rsidP="00C942A5">
      <w:pPr>
        <w:ind w:firstLineChars="200" w:firstLine="420"/>
      </w:pPr>
      <w:r>
        <w:rPr>
          <w:rFonts w:hint="eastAsia"/>
        </w:rPr>
        <w:t>此外，还应创新金融服务手段。嵌入网络商铺，围绕农村电商平台的商品进货单、快递回单、支付宝对账单等网络商铺的基础数据以及信誉度，分析确定信用等级，明确授信额度。嵌入财务结算环节，通过现金银企管理平台及云计算等科技创新支付媒介，实现网络销售现金汇款及时到账与分拨，结合月度、季度销售数据和企业账户流水提供财务、结算等综合化金融服务。灵活贷款定价，对运作规范、资本实力和风险控制能力强的担保机构承保的优质智慧农业项目在贷款定价上给与优惠，降低其融资成本。</w:t>
      </w:r>
    </w:p>
    <w:p w:rsidR="00C942A5" w:rsidRDefault="00C942A5" w:rsidP="00C942A5">
      <w:pPr>
        <w:ind w:firstLineChars="200" w:firstLine="420"/>
        <w:rPr>
          <w:rFonts w:hint="eastAsia"/>
        </w:rPr>
      </w:pPr>
      <w:r>
        <w:rPr>
          <w:rFonts w:hint="eastAsia"/>
        </w:rPr>
        <w:t>再者，要优化金融资源配置，打造服务平台建设。一是金融支持农业信息综合服务平台的建设。信贷支持农产品企业、流通企业、销售企业提供软件在线服务以及农产品客户信息、业务信息、交易信息等数据资源整合服务。二是金融支持农产品物联信息追溯平台的建设。依托客户大数据等载体，对农产品生产、流通、销售等全流程进行可追踪化管理，实现农产品“从农田到餐桌”全程追溯。三是打造农村电商综合服务平台。金融支持农业生产企业、种养殖大户、流通企业、销售企业之间的信息互通、资源共享，促进产销对接。</w:t>
      </w:r>
    </w:p>
    <w:p w:rsidR="00C942A5" w:rsidRPr="007E7B5E" w:rsidRDefault="00C942A5" w:rsidP="007E7B5E">
      <w:pPr>
        <w:ind w:firstLine="420"/>
        <w:jc w:val="right"/>
      </w:pPr>
      <w:r w:rsidRPr="007E7B5E">
        <w:t>金融时报</w:t>
      </w:r>
      <w:r>
        <w:rPr>
          <w:rFonts w:hint="eastAsia"/>
        </w:rPr>
        <w:t>2017-10-26</w:t>
      </w:r>
    </w:p>
    <w:p w:rsidR="00C942A5" w:rsidRDefault="00C942A5" w:rsidP="00134AF5">
      <w:pPr>
        <w:sectPr w:rsidR="00C942A5" w:rsidSect="00134AF5">
          <w:type w:val="continuous"/>
          <w:pgSz w:w="11906" w:h="16838" w:code="9"/>
          <w:pgMar w:top="1644" w:right="1236" w:bottom="1418" w:left="1814" w:header="851" w:footer="907" w:gutter="0"/>
          <w:pgNumType w:start="1"/>
          <w:cols w:space="425"/>
          <w:docGrid w:type="lines" w:linePitch="341" w:charSpace="2373"/>
        </w:sectPr>
      </w:pPr>
    </w:p>
    <w:p w:rsidR="00396BA8" w:rsidRDefault="00396BA8"/>
    <w:sectPr w:rsidR="00396B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42A5"/>
    <w:rsid w:val="00396BA8"/>
    <w:rsid w:val="00C942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942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942A5"/>
    <w:rPr>
      <w:rFonts w:ascii="黑体" w:eastAsia="黑体" w:hAnsi="宋体" w:cs="Times New Roman"/>
      <w:b/>
      <w:kern w:val="36"/>
      <w:sz w:val="32"/>
      <w:szCs w:val="32"/>
    </w:rPr>
  </w:style>
  <w:style w:type="paragraph" w:customStyle="1" w:styleId="Char2CharCharChar">
    <w:name w:val="Char2 Char Char Char"/>
    <w:basedOn w:val="a"/>
    <w:autoRedefine/>
    <w:rsid w:val="00C942A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358</Words>
  <Characters>2046</Characters>
  <Application>Microsoft Office Word</Application>
  <DocSecurity>0</DocSecurity>
  <Lines>17</Lines>
  <Paragraphs>4</Paragraphs>
  <ScaleCrop>false</ScaleCrop>
  <Company>微软中国</Company>
  <LinksUpToDate>false</LinksUpToDate>
  <CharactersWithSpaces>2400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2022-07-22T05:51:00Z</dcterms:created>
</cp:coreProperties>
</file>