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64C4" w:rsidRDefault="003F64C4" w:rsidP="00AD22C2">
      <w:pPr>
        <w:pStyle w:val="1"/>
        <w:rPr>
          <w:rFonts w:hint="eastAsia"/>
        </w:rPr>
      </w:pPr>
      <w:r w:rsidRPr="00AD22C2">
        <w:rPr>
          <w:rFonts w:hint="eastAsia"/>
        </w:rPr>
        <w:t>产业消费升级、环保治理趋严，未来水产养殖趋势分析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由于水资源约束、环保政策趋严、养殖产业链集中度提高以及消费升级，水产养殖行业正经历一些深刻的变化；水产中供给稳定或略减；结构上，特种水产养殖正在替代普通家鱼养殖；特种水产饲料行业景气度高于水产饲料整体水平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水产禁养区划定预计将整体推高水产品价格，利好水产饲料销售。</w:t>
      </w:r>
      <w:r>
        <w:t xml:space="preserve">2018 </w:t>
      </w:r>
      <w:r>
        <w:t>年</w:t>
      </w:r>
      <w:r>
        <w:t xml:space="preserve">2 </w:t>
      </w:r>
      <w:r>
        <w:t>月农业部发文《</w:t>
      </w:r>
      <w:r>
        <w:t xml:space="preserve">2018 </w:t>
      </w:r>
      <w:r>
        <w:t>年渔业渔政工作要点》指出，</w:t>
      </w:r>
      <w:r>
        <w:t xml:space="preserve">2018 </w:t>
      </w:r>
      <w:r>
        <w:t>年底完成水产养殖主产县区养殖水域滩涂规划编制发布工作，划定禁养区、限养区和养殖区。主要工作原则包括：调减过密近海网箱养殖，发展外海深水网箱养殖；稳定淡水池塘养殖，调减湖泊水库网箱围栏养殖，发展生态养殖，支持设施养殖向工厂化循环水方向发展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养殖户规模化发展。按照《现代渔业生产经营组织的发展研究》，渔业生产经营组织是渔业从业人员按照自愿联盟、参股入股、民主管理、收益共享的原则组建而成。在渔业生产的产前（养殖）、产中（加工运输）、产后（销售）三个阶段中，使其苗种、技术、资金、用药、加工、销售等环节统一，以便提高效率。渔业生产经营组织分为以下三类：渔业专业股份合作制、渔业专业合作社和渔业专业协会。规模化养殖户占比的提高，将间接带动优质饲料的使用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先进的工厂化养殖模式快速普及。封闭式循环水养殖是目前世界上发达国家推崇的先进养殖模式，与传统池塘养殖相比，每单位养殖产品可节约</w:t>
      </w:r>
      <w:r>
        <w:t>90%-99%</w:t>
      </w:r>
      <w:r>
        <w:t>的水和</w:t>
      </w:r>
      <w:r>
        <w:t>95%-99%</w:t>
      </w:r>
      <w:r>
        <w:t>的土地，并且几乎不污染环境，具有节水、节能、节地、生态、安全、高效等特点。封闭式循环水养殖周期比池塘养殖缩短</w:t>
      </w:r>
      <w:r>
        <w:t>1/3</w:t>
      </w:r>
      <w:r>
        <w:t>，养殖用水量减少</w:t>
      </w:r>
      <w:r>
        <w:t>95%</w:t>
      </w:r>
      <w:r>
        <w:t>以上，单位面积产量提高</w:t>
      </w:r>
      <w:r>
        <w:t xml:space="preserve">5 </w:t>
      </w:r>
      <w:r>
        <w:t>倍。厂化养殖模式在保障水产品持续增收的同时，也缓解了土地资源匮乏、水域滩涂日益萎缩的困境。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参考生猪养殖行业环保限养的措施及力度，预计水产禁养区、限养区划分也将使环境污染较严重的中小养殖户退出，短期内水产品供给减少，水产品价格上涨。幼鱼水产品投喂率在</w:t>
      </w:r>
      <w:r>
        <w:t>1%-4%</w:t>
      </w:r>
      <w:r>
        <w:t>之间，投喂饲料的弹性很大，预计养殖户将增加投喂率，在鱼价较高时加快出塘。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饲料替代冰鲜优势明显。饲料：相比冰鲜，使用饲料投喂加州鲈可以明显解放劳动力，投喂冰鲜一人最多只管理一口鱼塘，而投喂饲料可一人同时管理</w:t>
      </w:r>
      <w:r>
        <w:t xml:space="preserve">3 </w:t>
      </w:r>
      <w:r>
        <w:t>口鱼塘；另外使用饲料投喂还有不浪费、病原菌少、水质污染小、便于伴药、鱼的长势更均匀等一系列优势。冰鲜：使用冰鲜投喂加州鲈适口性更好、长速快、养殖周期可缩短</w:t>
      </w:r>
      <w:r>
        <w:t xml:space="preserve">15~25 </w:t>
      </w:r>
      <w:r>
        <w:t>天。但对水质污染大、病害较多。</w:t>
      </w:r>
    </w:p>
    <w:p w:rsidR="003F64C4" w:rsidRDefault="003F64C4" w:rsidP="003F64C4">
      <w:pPr>
        <w:ind w:firstLineChars="200" w:firstLine="420"/>
      </w:pPr>
      <w:r>
        <w:rPr>
          <w:rFonts w:hint="eastAsia"/>
        </w:rPr>
        <w:t>自然捕捞减少，人工养殖增加。《全国农业现代化规划</w:t>
      </w:r>
      <w:r>
        <w:t>2016-2020</w:t>
      </w:r>
      <w:r>
        <w:t>》指出，推进渔业转型升级，统筹布局渔业发展空间，合理确定湖泊和水库等公共水域养殖规模，稳定池塘养殖，推进稻田综合种养和低洼盐碱地养殖。大力发展水产健康养殖，加强养殖池塘改造。降低捕捞强度，减少捕捞产量，加大减船转产力度，进一步清理绝户网等违规渔具和</w:t>
      </w:r>
      <w:r>
        <w:t>“</w:t>
      </w:r>
      <w:r>
        <w:t>三无</w:t>
      </w:r>
      <w:r>
        <w:t>”</w:t>
      </w:r>
      <w:r>
        <w:t>渔船。《全国渔业发展第十三个五年规划》指出，十三五期间要降低捕捞强度、保护海洋渔业资源，鼓励发展名特新优水产品养殖。预计未来</w:t>
      </w:r>
      <w:r>
        <w:t xml:space="preserve">3-5 </w:t>
      </w:r>
      <w:r>
        <w:t>年内，特种养殖水产品将继增量，带动上游饲料行业发展。农业部</w:t>
      </w:r>
      <w:r>
        <w:rPr>
          <w:rFonts w:hint="eastAsia"/>
        </w:rPr>
        <w:t>数据，</w:t>
      </w:r>
      <w:r>
        <w:t xml:space="preserve">2017 </w:t>
      </w:r>
      <w:r>
        <w:t>年上半年捕捞</w:t>
      </w:r>
      <w:r>
        <w:t>“</w:t>
      </w:r>
      <w:r>
        <w:t>减量</w:t>
      </w:r>
      <w:r>
        <w:t>”</w:t>
      </w:r>
      <w:r>
        <w:t>成果明显。上半年水产品总产量增幅同比下降</w:t>
      </w:r>
      <w:r>
        <w:t xml:space="preserve">2.45 </w:t>
      </w:r>
      <w:r>
        <w:t>个百分点，捕捞产量同比下降</w:t>
      </w:r>
      <w:r>
        <w:t>15.79%</w:t>
      </w:r>
      <w:r>
        <w:t>。其中，海洋捕捞产量</w:t>
      </w:r>
      <w:r>
        <w:t xml:space="preserve">407.33 </w:t>
      </w:r>
      <w:r>
        <w:t>万吨，同比下降</w:t>
      </w:r>
      <w:r>
        <w:t>18.05%</w:t>
      </w:r>
      <w:r>
        <w:t>。</w:t>
      </w:r>
    </w:p>
    <w:p w:rsidR="003F64C4" w:rsidRDefault="003F64C4" w:rsidP="003F64C4">
      <w:pPr>
        <w:ind w:firstLineChars="200" w:firstLine="420"/>
        <w:rPr>
          <w:rFonts w:hint="eastAsia"/>
        </w:rPr>
      </w:pPr>
      <w:r>
        <w:rPr>
          <w:rFonts w:hint="eastAsia"/>
        </w:rPr>
        <w:t>消费升级带动特种水产养殖增加。近年来，随着人们消费水平的提高，对营养价值高的特种水产品需求不断上升。过去我国一直以青鱼、草鱼、鲢鱼、鳙鱼四大家鱼等水产品消费为主，渔业养殖生产也以解决普通水产消费需求为核心。随着我国水产品总量的迅速上，“吃鱼难”的问题得到了有效缓解，水产品供给又面临着新的“质量型、健康型需求”问题。海水鱼、鳗鲡、鲟鱼、黄鳝、中华鳖等特种水产品中富含预防人类心脑血管疾病的</w:t>
      </w:r>
      <w:r>
        <w:t xml:space="preserve">DHA </w:t>
      </w:r>
      <w:r>
        <w:t>和</w:t>
      </w:r>
      <w:r>
        <w:t xml:space="preserve">EPA </w:t>
      </w:r>
      <w:r>
        <w:t>等多不饱和脂肪酸（畜禽不含有</w:t>
      </w:r>
      <w:r>
        <w:t xml:space="preserve">DHA </w:t>
      </w:r>
      <w:r>
        <w:t>和</w:t>
      </w:r>
      <w:r>
        <w:t>EPA</w:t>
      </w:r>
      <w:r>
        <w:t>），随着我国心脑血管疾病发病率逐年上升，在经济水平提高已能够满</w:t>
      </w:r>
      <w:r>
        <w:rPr>
          <w:rFonts w:hint="eastAsia"/>
        </w:rPr>
        <w:t>足居民健康消费的前提下，市场对营养价值高、肉质细嫩、口感好、品种更为多样化的健康食品——特种水产品的消费需求将呈现不断上升的趋势。</w:t>
      </w:r>
    </w:p>
    <w:p w:rsidR="003F64C4" w:rsidRDefault="003F64C4" w:rsidP="00AD22C2">
      <w:pPr>
        <w:jc w:val="right"/>
        <w:rPr>
          <w:rFonts w:hint="eastAsia"/>
        </w:rPr>
      </w:pPr>
      <w:r w:rsidRPr="00AD22C2">
        <w:rPr>
          <w:rFonts w:hint="eastAsia"/>
        </w:rPr>
        <w:t xml:space="preserve">　中国水产养殖网</w:t>
      </w:r>
      <w:smartTag w:uri="urn:schemas-microsoft-com:office:smarttags" w:element="chsdate">
        <w:smartTagPr>
          <w:attr w:name="IsROCDate" w:val="False"/>
          <w:attr w:name="IsLunarDate" w:val="False"/>
          <w:attr w:name="Day" w:val="7"/>
          <w:attr w:name="Month" w:val="2"/>
          <w:attr w:name="Year" w:val="2019"/>
        </w:smartTagPr>
        <w:r>
          <w:rPr>
            <w:rFonts w:hint="eastAsia"/>
          </w:rPr>
          <w:t>2019-2-7</w:t>
        </w:r>
      </w:smartTag>
    </w:p>
    <w:p w:rsidR="003F64C4" w:rsidRDefault="003F64C4" w:rsidP="00E55E9D">
      <w:pPr>
        <w:sectPr w:rsidR="003F64C4" w:rsidSect="00E55E9D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5446C" w:rsidRDefault="0025446C"/>
    <w:sectPr w:rsidR="002544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F64C4"/>
    <w:rsid w:val="0025446C"/>
    <w:rsid w:val="003F64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F64C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F64C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F64C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1453</Characters>
  <Application>Microsoft Office Word</Application>
  <DocSecurity>0</DocSecurity>
  <Lines>12</Lines>
  <Paragraphs>3</Paragraphs>
  <ScaleCrop>false</ScaleCrop>
  <Company/>
  <LinksUpToDate>false</LinksUpToDate>
  <CharactersWithSpaces>1704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2022-07-19T01:46:00Z</dcterms:created>
</cp:coreProperties>
</file>