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343FC" w:rsidRDefault="00A343FC" w:rsidP="00F000F8">
      <w:pPr>
        <w:pStyle w:val="1"/>
      </w:pPr>
      <w:r>
        <w:rPr>
          <w:rFonts w:hint="eastAsia"/>
        </w:rPr>
        <w:t>2021年临沂市金融改革创新服务乡村振兴成效显著</w:t>
      </w:r>
    </w:p>
    <w:p w:rsidR="00A343FC" w:rsidRDefault="00A343FC" w:rsidP="00F000F8">
      <w:r>
        <w:t xml:space="preserve">    </w:t>
      </w:r>
      <w:r>
        <w:t>临沂市人民政府新闻办公室召开</w:t>
      </w:r>
      <w:r>
        <w:t>“2021</w:t>
      </w:r>
      <w:r>
        <w:t>经济社会发展盘点</w:t>
      </w:r>
      <w:r>
        <w:t>”</w:t>
      </w:r>
      <w:r>
        <w:t>主题系列新闻发布会第十一场，会上，临沂市地方金融监督管理局通报了全市</w:t>
      </w:r>
      <w:r>
        <w:t>2021</w:t>
      </w:r>
      <w:r>
        <w:t>年全市金融运行情况。</w:t>
      </w:r>
    </w:p>
    <w:p w:rsidR="00A343FC" w:rsidRDefault="00A343FC" w:rsidP="00F000F8">
      <w:r>
        <w:rPr>
          <w:rFonts w:hint="eastAsia"/>
        </w:rPr>
        <w:t xml:space="preserve">　　记者从发布会上获悉，随着临沂金融改革创新的持续深化，临沂市普惠金融服务乡村振兴改革试验区建设全面推进，乡村振兴全面起势。</w:t>
      </w:r>
    </w:p>
    <w:p w:rsidR="00A343FC" w:rsidRDefault="00A343FC" w:rsidP="00F000F8">
      <w:r>
        <w:rPr>
          <w:rFonts w:hint="eastAsia"/>
        </w:rPr>
        <w:t xml:space="preserve">　　兰陵县“田园新城”项目村庄规划编制试点已完成批复；“沂蒙金融超市”行政村布点设立工作稳步推进；全市银行机构乡镇网点和助农取款点达到</w:t>
      </w:r>
      <w:r>
        <w:t>583</w:t>
      </w:r>
      <w:r>
        <w:t>个、</w:t>
      </w:r>
      <w:r>
        <w:t>8278</w:t>
      </w:r>
      <w:r>
        <w:t>个，分别实现乡镇和行政村全覆盖。</w:t>
      </w:r>
    </w:p>
    <w:p w:rsidR="00A343FC" w:rsidRDefault="00A343FC" w:rsidP="00F000F8">
      <w:r>
        <w:rPr>
          <w:rFonts w:hint="eastAsia"/>
        </w:rPr>
        <w:t xml:space="preserve">　　探索实施不动产抵押登记“集成网办模式”，率先在全省实现市县两级银行机构全覆盖；探索农村抵质押物创新，农地经营权抵押贷款、农村集体经营性建设用地使用权抵押贷款和农村集体资产股权质押贷款余额</w:t>
      </w:r>
      <w:r>
        <w:t>21.12</w:t>
      </w:r>
      <w:r>
        <w:t>亿元；农村产权交易中心建设有序推进；普惠金融服务乡村振兴综合信息平台上线运营，对接发放贷款</w:t>
      </w:r>
      <w:r>
        <w:t>140</w:t>
      </w:r>
      <w:r>
        <w:t>亿元；沂水县创新开展农村信用体系建设试点，费县</w:t>
      </w:r>
      <w:r>
        <w:t>“</w:t>
      </w:r>
      <w:r>
        <w:t>两山银行</w:t>
      </w:r>
      <w:r>
        <w:t>”</w:t>
      </w:r>
      <w:r>
        <w:t>试点有效盘活农村生态资源，蒙阴县在全国率先建立县级生态资源大数据平台。</w:t>
      </w:r>
    </w:p>
    <w:p w:rsidR="00A343FC" w:rsidRDefault="00A343FC" w:rsidP="00F000F8">
      <w:r>
        <w:rPr>
          <w:rFonts w:hint="eastAsia"/>
        </w:rPr>
        <w:t xml:space="preserve">　　全市本外币涉农贷款增幅和新增涉农贷款比重分别高于全省</w:t>
      </w:r>
      <w:r>
        <w:t>6.4</w:t>
      </w:r>
      <w:r>
        <w:t>个百分点、</w:t>
      </w:r>
      <w:r>
        <w:t>12.97</w:t>
      </w:r>
      <w:r>
        <w:t>个百分点；全市玉米、水稻实际种植面积农业基本险实现全覆盖；金融机构创新推出</w:t>
      </w:r>
      <w:r>
        <w:t>“</w:t>
      </w:r>
      <w:r>
        <w:t>金穗沂蒙兴农贷</w:t>
      </w:r>
      <w:r>
        <w:t>”“</w:t>
      </w:r>
      <w:r>
        <w:t>鲁担强村贷</w:t>
      </w:r>
      <w:r>
        <w:t>”</w:t>
      </w:r>
      <w:r>
        <w:t>以及地方特色险种等系列金融服务产品；全国首单</w:t>
      </w:r>
      <w:r>
        <w:t>2</w:t>
      </w:r>
      <w:r>
        <w:t>亿元乡村振兴债权融资计划，全省第二单</w:t>
      </w:r>
      <w:r>
        <w:t>5</w:t>
      </w:r>
      <w:r>
        <w:t>亿元乡村振兴票据，全市首单</w:t>
      </w:r>
      <w:r>
        <w:t>15</w:t>
      </w:r>
      <w:r>
        <w:t>亿元绿色债券相继成功发行。</w:t>
      </w:r>
    </w:p>
    <w:p w:rsidR="00A343FC" w:rsidRDefault="00A343FC" w:rsidP="00F000F8">
      <w:pPr>
        <w:ind w:firstLine="420"/>
      </w:pPr>
      <w:r>
        <w:t>2021</w:t>
      </w:r>
      <w:r>
        <w:t>年临沂新增</w:t>
      </w:r>
      <w:r>
        <w:t>4</w:t>
      </w:r>
      <w:r>
        <w:t>支市级辅导队、</w:t>
      </w:r>
      <w:r>
        <w:t>22</w:t>
      </w:r>
      <w:r>
        <w:t>支县区级辅导队，创新组建木业产业、商圈、涉农等特色金融辅导队；新注册</w:t>
      </w:r>
      <w:r>
        <w:t>2755</w:t>
      </w:r>
      <w:r>
        <w:t>家辅导企业，总数达到</w:t>
      </w:r>
      <w:r>
        <w:t>4751</w:t>
      </w:r>
      <w:r>
        <w:t>家，同比增长</w:t>
      </w:r>
      <w:r>
        <w:t>138.02%</w:t>
      </w:r>
      <w:r>
        <w:t>；累计协调解决融资需求</w:t>
      </w:r>
      <w:r>
        <w:t>145.93</w:t>
      </w:r>
      <w:r>
        <w:t>亿元。</w:t>
      </w:r>
    </w:p>
    <w:p w:rsidR="00A343FC" w:rsidRDefault="00A343FC" w:rsidP="00F000F8">
      <w:pPr>
        <w:ind w:firstLine="420"/>
        <w:jc w:val="right"/>
      </w:pPr>
      <w:r w:rsidRPr="00F000F8">
        <w:rPr>
          <w:rFonts w:hint="eastAsia"/>
        </w:rPr>
        <w:t>新浪网</w:t>
      </w:r>
      <w:r w:rsidRPr="00F000F8">
        <w:t>2022-01-28</w:t>
      </w:r>
    </w:p>
    <w:p w:rsidR="00A343FC" w:rsidRDefault="00A343FC" w:rsidP="00A66BA2">
      <w:pPr>
        <w:sectPr w:rsidR="00A343FC" w:rsidSect="00A66BA2">
          <w:type w:val="continuous"/>
          <w:pgSz w:w="11906" w:h="16838"/>
          <w:pgMar w:top="1644" w:right="1236" w:bottom="1418" w:left="1814" w:header="851" w:footer="907" w:gutter="0"/>
          <w:pgNumType w:start="1"/>
          <w:cols w:space="720"/>
          <w:docGrid w:type="lines" w:linePitch="341" w:charSpace="2373"/>
        </w:sectPr>
      </w:pPr>
    </w:p>
    <w:p w:rsidR="009932EB" w:rsidRDefault="009932EB"/>
    <w:sectPr w:rsidR="009932EB">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A343FC"/>
    <w:rsid w:val="009932EB"/>
    <w:rsid w:val="00A343FC"/>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A343FC"/>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A343FC"/>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113</Words>
  <Characters>648</Characters>
  <Application>Microsoft Office Word</Application>
  <DocSecurity>0</DocSecurity>
  <Lines>5</Lines>
  <Paragraphs>1</Paragraphs>
  <ScaleCrop>false</ScaleCrop>
  <Company>Win10NeT.COM</Company>
  <LinksUpToDate>false</LinksUpToDate>
  <CharactersWithSpaces>760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XiaZaiMa.COM</dc:creator>
  <cp:keywords/>
  <dc:description/>
  <cp:lastModifiedBy/>
  <cp:revision>1</cp:revision>
  <dcterms:created xsi:type="dcterms:W3CDTF">2022-07-04T07:08:00Z</dcterms:created>
</cp:coreProperties>
</file>