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03E" w:rsidRDefault="0004303E" w:rsidP="002B62F0">
      <w:pPr>
        <w:pStyle w:val="1"/>
      </w:pPr>
      <w:bookmarkStart w:id="0" w:name="_Toc106788453"/>
      <w:r>
        <w:rPr>
          <w:rFonts w:hint="eastAsia"/>
        </w:rPr>
        <w:t>丹阳</w:t>
      </w:r>
      <w:r>
        <w:t>市银行业改革创新</w:t>
      </w:r>
      <w:r>
        <w:t>“</w:t>
      </w:r>
      <w:r>
        <w:t>百花齐放</w:t>
      </w:r>
      <w:r>
        <w:t>”</w:t>
      </w:r>
      <w:bookmarkEnd w:id="0"/>
    </w:p>
    <w:p w:rsidR="0004303E" w:rsidRDefault="0004303E" w:rsidP="0004303E">
      <w:pPr>
        <w:ind w:firstLineChars="200" w:firstLine="420"/>
      </w:pPr>
      <w:r>
        <w:rPr>
          <w:rFonts w:hint="eastAsia"/>
        </w:rPr>
        <w:t>服务的改革创新，有力促进了经济社会发展，满足了市民们的金融生活需求。</w:t>
      </w:r>
    </w:p>
    <w:p w:rsidR="0004303E" w:rsidRDefault="0004303E" w:rsidP="0004303E">
      <w:pPr>
        <w:ind w:firstLineChars="200" w:firstLine="420"/>
      </w:pPr>
      <w:r>
        <w:rPr>
          <w:rFonts w:hint="eastAsia"/>
        </w:rPr>
        <w:t>记者从人民银行丹阳市支行了解到，</w:t>
      </w:r>
      <w:r>
        <w:t>2018</w:t>
      </w:r>
      <w:r>
        <w:t>年，为了服务政府基础设施及重点产业建设，我市农发行</w:t>
      </w:r>
      <w:r>
        <w:t>7</w:t>
      </w:r>
      <w:r>
        <w:t>亿元棚改项目贷款已投放</w:t>
      </w:r>
      <w:r>
        <w:t>3</w:t>
      </w:r>
      <w:r>
        <w:t>亿元，建设银行新增</w:t>
      </w:r>
      <w:r>
        <w:t>2</w:t>
      </w:r>
      <w:r>
        <w:t>亿元棚改项目贷款，邮储银行生活垃圾焚烧发电项目</w:t>
      </w:r>
      <w:r>
        <w:t>3.67</w:t>
      </w:r>
      <w:r>
        <w:t>亿元通过总行审批、根据工程进度提款有序开展，交通银行针对眼镜产业推出商圈贷组合服务。</w:t>
      </w:r>
    </w:p>
    <w:p w:rsidR="0004303E" w:rsidRDefault="0004303E" w:rsidP="0004303E">
      <w:pPr>
        <w:ind w:firstLineChars="200" w:firstLine="420"/>
      </w:pPr>
      <w:r>
        <w:rPr>
          <w:rFonts w:hint="eastAsia"/>
        </w:rPr>
        <w:t>在服务个人经营者和小微企业方面，丹阳工行推出了“网上小额贷款”“小微创业贷”“苏贸贷”服务，农行创新设立“微捷贷”“账户云贷款”“网捷贷”线上融资服务，建行推出“房抵贷”创新服务，中信银行推出“信秒贴”“惠房贷”“信秒贷”，邮储银行推出“极速贷”融资服务。</w:t>
      </w:r>
    </w:p>
    <w:p w:rsidR="0004303E" w:rsidRDefault="0004303E" w:rsidP="0004303E">
      <w:pPr>
        <w:ind w:firstLineChars="200" w:firstLine="420"/>
      </w:pPr>
      <w:r>
        <w:rPr>
          <w:rFonts w:hint="eastAsia"/>
        </w:rPr>
        <w:t>为增加服务小微企业的渠道，去年邮储银行、华夏银行与财政局、科技局新签约苏科贷；农业银行与财政局“丹微贷”合作启动。而在解决企业担保难问题方面，丹阳农商银行推出“税贷通”“小微税易贷”等“线上</w:t>
      </w:r>
      <w:r>
        <w:t>+</w:t>
      </w:r>
      <w:r>
        <w:t>线下</w:t>
      </w:r>
      <w:r>
        <w:t>”</w:t>
      </w:r>
      <w:r>
        <w:t>纯信用信贷服务，交通银行也推出</w:t>
      </w:r>
      <w:r>
        <w:t>“POS</w:t>
      </w:r>
      <w:r>
        <w:t>贷</w:t>
      </w:r>
      <w:r>
        <w:t>”“</w:t>
      </w:r>
      <w:r>
        <w:t>优贷通</w:t>
      </w:r>
      <w:r>
        <w:t>”“</w:t>
      </w:r>
      <w:r>
        <w:t>加成贷</w:t>
      </w:r>
      <w:r>
        <w:t>”“</w:t>
      </w:r>
      <w:r>
        <w:t>税融通</w:t>
      </w:r>
      <w:r>
        <w:t>”</w:t>
      </w:r>
      <w:r>
        <w:t>等优势服务。</w:t>
      </w:r>
    </w:p>
    <w:p w:rsidR="0004303E" w:rsidRDefault="0004303E" w:rsidP="0004303E">
      <w:pPr>
        <w:ind w:firstLineChars="200" w:firstLine="420"/>
      </w:pPr>
      <w:r>
        <w:rPr>
          <w:rFonts w:hint="eastAsia"/>
        </w:rPr>
        <w:t>面对规模企业“走出去”的发展趋势，我市银行业金融机构也积极发挥自身优势，帮助企业做大做强。据悉，</w:t>
      </w:r>
      <w:r>
        <w:t>2018</w:t>
      </w:r>
      <w:r>
        <w:t>年，由中国银行牵头、民生银行等参与的江苏鱼跃集团并购意大利百胜医疗的</w:t>
      </w:r>
      <w:r>
        <w:t>2.1</w:t>
      </w:r>
      <w:r>
        <w:t>亿欧元银团创新服务贷款顺利实现投放，产生了较大的市场影响力。</w:t>
      </w:r>
    </w:p>
    <w:p w:rsidR="0004303E" w:rsidRDefault="0004303E" w:rsidP="0004303E">
      <w:pPr>
        <w:ind w:firstLineChars="200" w:firstLine="420"/>
      </w:pPr>
      <w:r>
        <w:rPr>
          <w:rFonts w:hint="eastAsia"/>
        </w:rPr>
        <w:t>在创新产品服务的同时，我市银行业机构采取多种举措，尽量减轻实体企业的负担。据了解，</w:t>
      </w:r>
      <w:r>
        <w:t>2018</w:t>
      </w:r>
      <w:r>
        <w:t>年，我市农业银行以跨境金融、外汇衍生交易等方式降低企业财务成本；交通银行进一步下调了贷款利率；邮储银行对小微企业在结算、融资方面减免</w:t>
      </w:r>
      <w:r>
        <w:t>44</w:t>
      </w:r>
      <w:r>
        <w:t>项费用；招商银行为企业减免开户费、网银费等，并推出供应链产品</w:t>
      </w:r>
      <w:r>
        <w:t>“</w:t>
      </w:r>
      <w:r>
        <w:t>付款代理</w:t>
      </w:r>
      <w:r>
        <w:t>”</w:t>
      </w:r>
      <w:r>
        <w:t>，利率下浮至基准；兴业银行运用总行开发的</w:t>
      </w:r>
      <w:r>
        <w:t>“</w:t>
      </w:r>
      <w:r>
        <w:t>兴业管家</w:t>
      </w:r>
      <w:r>
        <w:t>”</w:t>
      </w:r>
      <w:r>
        <w:t>，完全实现不收费结算功能，降低企业结算成本。</w:t>
      </w:r>
    </w:p>
    <w:p w:rsidR="0004303E" w:rsidRDefault="0004303E" w:rsidP="0004303E">
      <w:pPr>
        <w:ind w:firstLineChars="200" w:firstLine="420"/>
      </w:pPr>
      <w:r>
        <w:rPr>
          <w:rFonts w:hint="eastAsia"/>
        </w:rPr>
        <w:t>为满足百姓多样化金融服务需求，</w:t>
      </w:r>
      <w:r>
        <w:t>2018</w:t>
      </w:r>
      <w:r>
        <w:t>年，丹阳农行挂牌成立了普惠金融专营机构，构建起专职人员联动服务的新模式；丹阳农商银行上线了</w:t>
      </w:r>
      <w:r>
        <w:t>“</w:t>
      </w:r>
      <w:r>
        <w:t>眨眼支付</w:t>
      </w:r>
      <w:r>
        <w:t>”</w:t>
      </w:r>
      <w:r>
        <w:t>系统，使得我市支付交易变得更加灵活便捷。</w:t>
      </w:r>
    </w:p>
    <w:p w:rsidR="0004303E" w:rsidRDefault="0004303E" w:rsidP="0004303E">
      <w:pPr>
        <w:ind w:firstLineChars="200" w:firstLine="420"/>
        <w:jc w:val="right"/>
      </w:pPr>
      <w:r w:rsidRPr="002B62F0">
        <w:rPr>
          <w:rFonts w:hint="eastAsia"/>
        </w:rPr>
        <w:t>服务经济</w:t>
      </w:r>
      <w:r w:rsidRPr="002B62F0">
        <w:t>2022-01-10</w:t>
      </w:r>
    </w:p>
    <w:p w:rsidR="0004303E" w:rsidRDefault="0004303E" w:rsidP="00A66BA2">
      <w:pPr>
        <w:rPr>
          <w:shd w:val="clear" w:color="auto" w:fill="FFFFFF"/>
        </w:rPr>
        <w:sectPr w:rsidR="0004303E" w:rsidSect="00E6495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717CF" w:rsidRDefault="002717CF"/>
    <w:sectPr w:rsidR="002717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717CF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40</w:t>
    </w:r>
    <w:r>
      <w:rPr>
        <w:noProof/>
      </w:rP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717CF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717CF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717CF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303E"/>
    <w:rsid w:val="0004303E"/>
    <w:rsid w:val="00271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30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303E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04303E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04303E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0430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04303E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>Win10NeT.COM</Company>
  <LinksUpToDate>false</LinksUpToDate>
  <CharactersWithSpaces>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2022-07-04T07:08:00Z</dcterms:created>
</cp:coreProperties>
</file>