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3887" w:rsidRDefault="00113887" w:rsidP="006D3090">
      <w:pPr>
        <w:pStyle w:val="1"/>
        <w:spacing w:line="245" w:lineRule="auto"/>
      </w:pPr>
      <w:r w:rsidRPr="008C5F4A">
        <w:rPr>
          <w:rFonts w:hint="eastAsia"/>
        </w:rPr>
        <w:t>补齐短板</w:t>
      </w:r>
      <w:r w:rsidRPr="008C5F4A">
        <w:t xml:space="preserve"> 银行绿色金融发展水平将进一步提升</w:t>
      </w:r>
    </w:p>
    <w:p w:rsidR="00113887" w:rsidRDefault="00113887" w:rsidP="00113887">
      <w:pPr>
        <w:spacing w:line="245" w:lineRule="auto"/>
        <w:ind w:firstLineChars="200" w:firstLine="420"/>
      </w:pPr>
      <w:r>
        <w:rPr>
          <w:rFonts w:hint="eastAsia"/>
        </w:rPr>
        <w:t>随着环境、社会、治理（</w:t>
      </w:r>
      <w:r>
        <w:t>ESG</w:t>
      </w:r>
      <w:r>
        <w:t>）理念日益深入人心，绿色金融被赋予更加丰富的内涵。银保监会日前印发的《银行业保险业绿色金融指引》（以下简称《指引》）要求银行保险机构从战略高度推进绿色金融，并首次提出银行保险机构重点关注</w:t>
      </w:r>
      <w:r>
        <w:t>ESG</w:t>
      </w:r>
      <w:r>
        <w:t>风险等内容，引起业内人士的高度关注。</w:t>
      </w:r>
    </w:p>
    <w:p w:rsidR="00113887" w:rsidRDefault="00113887" w:rsidP="00113887">
      <w:pPr>
        <w:spacing w:line="245" w:lineRule="auto"/>
        <w:ind w:firstLineChars="200" w:firstLine="420"/>
      </w:pPr>
      <w:r>
        <w:rPr>
          <w:rFonts w:hint="eastAsia"/>
        </w:rPr>
        <w:t>“《指引》要求银行保险机构从战略高度推进绿色金融，这既是出于经济社会绿色转型的迫切需要，也是引导银行保险机构从组织内部进行改革创新，以顺应时代发展潮流，合理拓展自身发展空间的重要举措。”中国银行研究院博士后汪惠青在接受《金融时报》记者采访时表示。</w:t>
      </w:r>
    </w:p>
    <w:p w:rsidR="00113887" w:rsidRDefault="00113887" w:rsidP="00113887">
      <w:pPr>
        <w:spacing w:line="245" w:lineRule="auto"/>
        <w:ind w:firstLineChars="200" w:firstLine="420"/>
      </w:pPr>
      <w:r>
        <w:rPr>
          <w:rFonts w:hint="eastAsia"/>
        </w:rPr>
        <w:t>近年来，我国的绿色金融实现了快速发展，银行业在绿色信贷、环境信息披露等方面表现突出，但仍存在一些亟待补齐的短板。例如，绿色金融的商业可持续性有待提升，绿色金融产品服务创新有待加强等。在此背景下，业内人士普遍认为，《指引》的实施具有重要指导意义，将有效提升绿色金融发展水平。</w:t>
      </w:r>
    </w:p>
    <w:p w:rsidR="00113887" w:rsidRDefault="00113887" w:rsidP="00113887">
      <w:pPr>
        <w:spacing w:line="245" w:lineRule="auto"/>
        <w:ind w:firstLineChars="200" w:firstLine="420"/>
      </w:pPr>
      <w:r>
        <w:rPr>
          <w:rFonts w:hint="eastAsia"/>
        </w:rPr>
        <w:t>从战略高度推进绿色金融</w:t>
      </w:r>
    </w:p>
    <w:p w:rsidR="00113887" w:rsidRDefault="00113887" w:rsidP="00113887">
      <w:pPr>
        <w:spacing w:line="245" w:lineRule="auto"/>
        <w:ind w:firstLineChars="200" w:firstLine="420"/>
      </w:pPr>
      <w:r>
        <w:rPr>
          <w:rFonts w:hint="eastAsia"/>
        </w:rPr>
        <w:t>业内人士认为，《指引》呈现两大亮点，一是要求银行保险机构从战略高度推进绿色金融，二是首次提出银行保险机构重点关注</w:t>
      </w:r>
      <w:r>
        <w:t>ESG</w:t>
      </w:r>
      <w:r>
        <w:t>风险。</w:t>
      </w:r>
    </w:p>
    <w:p w:rsidR="00113887" w:rsidRDefault="00113887" w:rsidP="00113887">
      <w:pPr>
        <w:spacing w:line="245" w:lineRule="auto"/>
        <w:ind w:firstLineChars="200" w:firstLine="420"/>
      </w:pPr>
      <w:r>
        <w:rPr>
          <w:rFonts w:hint="eastAsia"/>
        </w:rPr>
        <w:t>实际上，目前，不少银行已将绿色金融发展写进中长期发展战略中，通过建立绿色领导小组、成立绿色金融工作组、设立绿色支行等行动，积极推动绿色金融发展。例如，为完善绿色金融顶层设计，中国银行在集团层面设立董事长任组长的绿色金融及行业规划发展领导小组，在执委会下设行长任主席的绿色金融委员会，总行设立专业的绿色金融团队，通过各层级、各部门相互协作，协同推进绿色金融工作。</w:t>
      </w:r>
    </w:p>
    <w:p w:rsidR="00113887" w:rsidRDefault="00113887" w:rsidP="00113887">
      <w:pPr>
        <w:spacing w:line="245" w:lineRule="auto"/>
        <w:ind w:firstLineChars="200" w:firstLine="420"/>
      </w:pPr>
      <w:r>
        <w:rPr>
          <w:rFonts w:hint="eastAsia"/>
        </w:rPr>
        <w:t>不过，各家银行保险机构在重视程度和执行效果上还存在较大差异，对“双碳”目标的认识和把握还不到位，这需要尽快完善顶层设计。</w:t>
      </w:r>
    </w:p>
    <w:p w:rsidR="00113887" w:rsidRDefault="00113887" w:rsidP="00113887">
      <w:pPr>
        <w:spacing w:line="245" w:lineRule="auto"/>
        <w:ind w:firstLineChars="200" w:firstLine="420"/>
      </w:pPr>
      <w:r>
        <w:rPr>
          <w:rFonts w:hint="eastAsia"/>
        </w:rPr>
        <w:t>“银行机构应建立与碳中和目标相匹配的绿色金融发展规划。”汪惠青分析认为，完善的绿色金融发展规划能够发挥“指挥棒”作用，提升金融支持“双碳”目标的有效性和精准性。从实践来看，不同地区和行业在实现“双碳”目标的过程中存在诸多异质性，对绿色金融的实际需求存在差异。因此，银行业金融机构在制定绿色金融发展规划时，要与社会经济实际发展需求相匹配。例如，根据各行业企业特征设定减排发展路径及时间节点，有序推动绿色金融产品的设计、上市。</w:t>
      </w:r>
    </w:p>
    <w:p w:rsidR="00113887" w:rsidRDefault="00113887" w:rsidP="00113887">
      <w:pPr>
        <w:spacing w:line="245" w:lineRule="auto"/>
        <w:ind w:firstLineChars="200" w:firstLine="420"/>
      </w:pPr>
      <w:r>
        <w:rPr>
          <w:rFonts w:hint="eastAsia"/>
        </w:rPr>
        <w:t>重点关注</w:t>
      </w:r>
      <w:r>
        <w:t>ESG</w:t>
      </w:r>
      <w:r>
        <w:t>风险</w:t>
      </w:r>
    </w:p>
    <w:p w:rsidR="00113887" w:rsidRDefault="00113887" w:rsidP="00113887">
      <w:pPr>
        <w:spacing w:line="245" w:lineRule="auto"/>
        <w:ind w:firstLineChars="200" w:firstLine="420"/>
      </w:pPr>
      <w:r>
        <w:rPr>
          <w:rFonts w:hint="eastAsia"/>
        </w:rPr>
        <w:t>《指引》明确，银行保险机构应当有效识别、监测、防控业务活动中的环境、社会和治理风险。“《指引》提出银行保险机构重点关注</w:t>
      </w:r>
      <w:r>
        <w:t>ESG</w:t>
      </w:r>
      <w:r>
        <w:t>风险，旨在提高银行保险机构的风险识别能力。</w:t>
      </w:r>
      <w:r>
        <w:t>”</w:t>
      </w:r>
      <w:r>
        <w:t>汪惠青表示，从历史数据来看，</w:t>
      </w:r>
      <w:r>
        <w:t>ESG</w:t>
      </w:r>
      <w:r>
        <w:t>评级较高的企业，往往表现出更好的抗风险能力和持续经营能力。</w:t>
      </w:r>
    </w:p>
    <w:p w:rsidR="00113887" w:rsidRDefault="00113887" w:rsidP="00113887">
      <w:pPr>
        <w:spacing w:line="245" w:lineRule="auto"/>
        <w:ind w:firstLineChars="200" w:firstLine="420"/>
      </w:pPr>
      <w:r>
        <w:rPr>
          <w:rFonts w:hint="eastAsia"/>
        </w:rPr>
        <w:t>值得一提的是，此前的政策文件较多侧重于环境维度，而《指引》将考核要求提升至环境、社会、治理三个维度。“</w:t>
      </w:r>
      <w:r>
        <w:t>ESG</w:t>
      </w:r>
      <w:r>
        <w:t>包含的要素广泛，涵盖银行保险机构经营管理的方方面面，在现有风险管理体系中纳入</w:t>
      </w:r>
      <w:r>
        <w:t>ESG</w:t>
      </w:r>
      <w:r>
        <w:t>要素，通过对</w:t>
      </w:r>
      <w:r>
        <w:t>ESG</w:t>
      </w:r>
      <w:r>
        <w:t>指标进行评估，能更好识别、防范和处理外部冲击对银行保险机构可能产生的信用风险、市场风险、运营风险、流动性风险、声誉风险、战略风险等。</w:t>
      </w:r>
      <w:r>
        <w:t>”</w:t>
      </w:r>
      <w:r>
        <w:t>汪惠青表示。</w:t>
      </w:r>
    </w:p>
    <w:p w:rsidR="00113887" w:rsidRDefault="00113887" w:rsidP="00113887">
      <w:pPr>
        <w:spacing w:line="245" w:lineRule="auto"/>
        <w:ind w:firstLineChars="200" w:firstLine="420"/>
      </w:pPr>
      <w:r>
        <w:rPr>
          <w:rFonts w:hint="eastAsia"/>
        </w:rPr>
        <w:t>专家认为，金融机构重点关注的客户主要包括四类，一是银行信贷客户；二是投保</w:t>
      </w:r>
      <w:r>
        <w:t>ESG</w:t>
      </w:r>
      <w:r>
        <w:t>风险等相关保险的客户；三是保险资金实体投资项目的融资方；四是其他根据法律法规或合同约定应开展</w:t>
      </w:r>
      <w:r>
        <w:t>ESG</w:t>
      </w:r>
      <w:r>
        <w:t>风险管理的客户。</w:t>
      </w:r>
    </w:p>
    <w:p w:rsidR="00113887" w:rsidRDefault="00113887" w:rsidP="00113887">
      <w:pPr>
        <w:spacing w:line="245" w:lineRule="auto"/>
        <w:ind w:firstLineChars="200" w:firstLine="420"/>
      </w:pPr>
      <w:r>
        <w:rPr>
          <w:rFonts w:hint="eastAsia"/>
        </w:rPr>
        <w:t>“银行业金融机构开展环境风险管理，不仅能够快速精准识别和量化由气候变化引发的风险和机遇，而且能够及时识别和防范潜在的系统性金融风险。”汪惠青建议，银行机构应着力提高环境风险管理能力。一方面，要积极参与央行开展的碳核算、碳排放评估、环境风险评估、碳排放数据平台建设等试点工作，以提高自身环境风险管理能力；另一方面，还需加强内部环境风险管理建设，通过完善客户授信管理流程、发展绿色金融科技、开展环境风险压力测试等方式提高应对环境风险能力。</w:t>
      </w:r>
    </w:p>
    <w:p w:rsidR="00113887" w:rsidRDefault="00113887" w:rsidP="00113887">
      <w:pPr>
        <w:spacing w:line="245" w:lineRule="auto"/>
        <w:ind w:firstLineChars="200" w:firstLine="420"/>
      </w:pPr>
      <w:r>
        <w:rPr>
          <w:rFonts w:hint="eastAsia"/>
        </w:rPr>
        <w:t>加强绿色产品创新</w:t>
      </w:r>
      <w:r>
        <w:t xml:space="preserve"> </w:t>
      </w:r>
      <w:r>
        <w:t>避免运动式减碳</w:t>
      </w:r>
    </w:p>
    <w:p w:rsidR="00113887" w:rsidRDefault="00113887" w:rsidP="00113887">
      <w:pPr>
        <w:spacing w:line="245" w:lineRule="auto"/>
        <w:ind w:firstLineChars="200" w:firstLine="420"/>
      </w:pPr>
      <w:r>
        <w:rPr>
          <w:rFonts w:hint="eastAsia"/>
        </w:rPr>
        <w:t>服务“双碳”目标，绿色金融任重道远。业内人士认为，《指引》与此前出台的政策文件一脉相承，建立具有规范性的绿色金融指引，有利于指导银行保险机构加强绿色金融组织管理、制度建设和流程管理，完善内控管理和监督机制，进一步推动各项绿色金融政策落地见效。</w:t>
      </w:r>
    </w:p>
    <w:p w:rsidR="00113887" w:rsidRDefault="00113887" w:rsidP="00113887">
      <w:pPr>
        <w:spacing w:line="245" w:lineRule="auto"/>
        <w:ind w:firstLineChars="200" w:firstLine="420"/>
      </w:pPr>
      <w:r>
        <w:rPr>
          <w:rFonts w:hint="eastAsia"/>
        </w:rPr>
        <w:t>采访中，专家对绿色金融产品和服务创新有较多期待。招联金融首席研究员董希淼表示，下一步，银行业和保险业应在《指引》的基础上加快绿色金融创新，积极构建整体协同、分工明晰的多层次绿色金融服务体系，推出更多服务绿色发展的产品和服务。</w:t>
      </w:r>
    </w:p>
    <w:p w:rsidR="00113887" w:rsidRDefault="00113887" w:rsidP="00113887">
      <w:pPr>
        <w:spacing w:line="245" w:lineRule="auto"/>
        <w:ind w:firstLineChars="200" w:firstLine="420"/>
      </w:pPr>
      <w:r>
        <w:rPr>
          <w:rFonts w:hint="eastAsia"/>
        </w:rPr>
        <w:t>汪惠青则认为，目前我国绿色金融业务主要集中在绿色信贷和绿色债券领域，且绿色信贷在规模上占绝对优势。相较发达国家多元化的绿色金融发展结构，我国绿色金融在绿色保险、绿色基金、绿色</w:t>
      </w:r>
      <w:r>
        <w:t>PPP</w:t>
      </w:r>
      <w:r>
        <w:t>、碳金融等相关领域发展不足，相关产品和服务的创新能力也有待提高。</w:t>
      </w:r>
    </w:p>
    <w:p w:rsidR="00113887" w:rsidRDefault="00113887" w:rsidP="00113887">
      <w:pPr>
        <w:spacing w:line="245" w:lineRule="auto"/>
        <w:ind w:firstLineChars="200" w:firstLine="420"/>
      </w:pPr>
      <w:r>
        <w:rPr>
          <w:rFonts w:hint="eastAsia"/>
        </w:rPr>
        <w:t>运动式减碳的问题也受到专家的关注。值得一提的是，《指引》进一步提升了绿色金融体系与“双碳”目标的匹配度。这意味着，顶层设计对银行保险机构“有保有压、分类施策”有了更明确的指导，有利于在积极支持绿色低碳产业发展的同时，切实保障能源安全、产业链供应链安全，平稳有序调整、优化投融资结构，防止“一刀切”和运动式减碳。</w:t>
      </w:r>
    </w:p>
    <w:p w:rsidR="00113887" w:rsidRDefault="00113887" w:rsidP="006D3090">
      <w:pPr>
        <w:spacing w:line="245" w:lineRule="auto"/>
        <w:ind w:firstLine="420"/>
        <w:jc w:val="right"/>
      </w:pPr>
      <w:r w:rsidRPr="008C5F4A">
        <w:rPr>
          <w:rFonts w:hint="eastAsia"/>
        </w:rPr>
        <w:t>金融时报</w:t>
      </w:r>
      <w:r>
        <w:rPr>
          <w:rFonts w:hint="eastAsia"/>
        </w:rPr>
        <w:t>2022-6-10</w:t>
      </w:r>
    </w:p>
    <w:p w:rsidR="00113887" w:rsidRDefault="00113887" w:rsidP="007662F1">
      <w:pPr>
        <w:sectPr w:rsidR="00113887" w:rsidSect="007662F1">
          <w:type w:val="continuous"/>
          <w:pgSz w:w="11906" w:h="16838"/>
          <w:pgMar w:top="1644" w:right="1236" w:bottom="1418" w:left="1814" w:header="851" w:footer="907" w:gutter="0"/>
          <w:pgNumType w:start="1"/>
          <w:cols w:space="720"/>
          <w:docGrid w:type="lines" w:linePitch="341" w:charSpace="2373"/>
        </w:sectPr>
      </w:pPr>
    </w:p>
    <w:p w:rsidR="0067581C" w:rsidRDefault="0067581C"/>
    <w:sectPr w:rsidR="006758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3887"/>
    <w:rsid w:val="00113887"/>
    <w:rsid w:val="006758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38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38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1806</Characters>
  <Application>Microsoft Office Word</Application>
  <DocSecurity>0</DocSecurity>
  <Lines>15</Lines>
  <Paragraphs>4</Paragraphs>
  <ScaleCrop>false</ScaleCrop>
  <Company>微软中国</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2022-06-27T05:47:00Z</dcterms:created>
</cp:coreProperties>
</file>