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15506" w:rsidRDefault="00C15506" w:rsidP="004D690F">
      <w:pPr>
        <w:pStyle w:val="1"/>
      </w:pPr>
      <w:r>
        <w:rPr>
          <w:rFonts w:hint="eastAsia"/>
        </w:rPr>
        <w:t>人民银行马鞍山市中心支行多措并举推动金融改革创新取得实效</w:t>
      </w:r>
    </w:p>
    <w:p w:rsidR="00C15506" w:rsidRDefault="00C15506" w:rsidP="00C15506">
      <w:pPr>
        <w:ind w:firstLineChars="200" w:firstLine="420"/>
      </w:pPr>
      <w:r>
        <w:rPr>
          <w:rFonts w:hint="eastAsia"/>
        </w:rPr>
        <w:t>今年以来，人民银行马鞍山市中心支行扎实推进金融改革创新工作，对标合肥中心支行“金融改革</w:t>
      </w:r>
      <w:r>
        <w:t>22</w:t>
      </w:r>
      <w:r>
        <w:t>条</w:t>
      </w:r>
      <w:r>
        <w:t>”</w:t>
      </w:r>
      <w:r>
        <w:t>，将金融改革创新纳入全行重点工作任务，成立金融改革创新工作专班，召开金融改革重点推进银行工作会议、建立金融改革项目台账，实时跟进项目进展，取得了较好的成效。</w:t>
      </w:r>
    </w:p>
    <w:p w:rsidR="00C15506" w:rsidRDefault="00C15506" w:rsidP="00C15506">
      <w:pPr>
        <w:ind w:firstLineChars="200" w:firstLine="420"/>
      </w:pPr>
      <w:r>
        <w:rPr>
          <w:rFonts w:hint="eastAsia"/>
        </w:rPr>
        <w:t>一是绿色金融改革成效凸显。制定《马鞍山市绿色金融发展行动方案（</w:t>
      </w:r>
      <w:r>
        <w:t>2021-2023</w:t>
      </w:r>
      <w:r>
        <w:t>年）》，将绿色金融改革工作列入各银行机构</w:t>
      </w:r>
      <w:r>
        <w:t>“</w:t>
      </w:r>
      <w:r>
        <w:t>一把手</w:t>
      </w:r>
      <w:r>
        <w:t>”</w:t>
      </w:r>
      <w:r>
        <w:t>工程，推动绿色金融改革在马鞍山落地见效。在全省率先建立</w:t>
      </w:r>
      <w:r>
        <w:t>20</w:t>
      </w:r>
      <w:r>
        <w:t>亿元绿色再贴现资金池，引导资金向再生资源领域倾斜，支持钢铁、造纸行业绿色转型发展，目前已为辖内</w:t>
      </w:r>
      <w:r>
        <w:t>30</w:t>
      </w:r>
      <w:r>
        <w:t>余家绿色低碳企业办理再贴现</w:t>
      </w:r>
      <w:r>
        <w:t>30.81</w:t>
      </w:r>
      <w:r>
        <w:t>亿元，节省融资成本约</w:t>
      </w:r>
      <w:r>
        <w:t>250</w:t>
      </w:r>
      <w:r>
        <w:t>万元，支持企业减少碳排放约</w:t>
      </w:r>
      <w:r>
        <w:t>70</w:t>
      </w:r>
      <w:r>
        <w:t>万吨。赴先进地区学习绿色金融改革创新试验区经验做法，会同发改委等部门探索建立绿色金融重点支持类企业、项目资源库，编发《绿色金融工作简报</w:t>
      </w:r>
      <w:r>
        <w:rPr>
          <w:rFonts w:hint="eastAsia"/>
        </w:rPr>
        <w:t>》，推介宣传绿色金融典型案例，综合运用各类货币政策工具对有思路、有办法、有成效的金融机构给予支持与保障。</w:t>
      </w:r>
    </w:p>
    <w:p w:rsidR="00C15506" w:rsidRDefault="00C15506" w:rsidP="00C15506">
      <w:pPr>
        <w:ind w:firstLineChars="200" w:firstLine="420"/>
      </w:pPr>
      <w:r>
        <w:rPr>
          <w:rFonts w:hint="eastAsia"/>
        </w:rPr>
        <w:t>二是金融支持乡村振兴水平稳步提升。全面做好巩固拓展脱贫攻坚成果同乡村振兴有效衔接，与市农业农村局、乡村振兴局等部门联合印发《关于做好乡村振兴金融服务的实施意见》，搭建全面立体的金融支持乡村振兴服务体系。探索支农再贷款定向支持特色农业模式，采用“支农再贷款</w:t>
      </w:r>
      <w:r>
        <w:t>+”</w:t>
      </w:r>
      <w:r>
        <w:t>的方式引导县域法人金融机构定向支持农业特色产业，向和县农村商业银行发放支农再贷款</w:t>
      </w:r>
      <w:r>
        <w:t>1.8</w:t>
      </w:r>
      <w:r>
        <w:t>亿元，专项支持和县农业龙头企业和新型农业经营主体，帮助涉农企业降低融资成本约</w:t>
      </w:r>
      <w:r>
        <w:t>180</w:t>
      </w:r>
      <w:r>
        <w:t>万元。截至</w:t>
      </w:r>
      <w:r>
        <w:t>9</w:t>
      </w:r>
      <w:r>
        <w:t>月末，全市涉农贷款余额</w:t>
      </w:r>
      <w:r>
        <w:t>711.28</w:t>
      </w:r>
      <w:r>
        <w:t>亿元，同比增长</w:t>
      </w:r>
      <w:r>
        <w:t>15.94%</w:t>
      </w:r>
      <w:r>
        <w:t>。</w:t>
      </w:r>
    </w:p>
    <w:p w:rsidR="00C15506" w:rsidRDefault="00C15506" w:rsidP="00C15506">
      <w:pPr>
        <w:ind w:firstLineChars="200" w:firstLine="420"/>
      </w:pPr>
      <w:r>
        <w:rPr>
          <w:rFonts w:hint="eastAsia"/>
        </w:rPr>
        <w:t>三是科创金融改革加快推进。以科技“小巨人”企业贷款为着力点，加大科创信贷投放力度，形成集培育、孵化、壮大、成果转化全流程的科技创新金融支持体系，建立科技“小巨人”企业贷款名录库，组织银行机构精准对接服务。截至目前，已为</w:t>
      </w:r>
      <w:r>
        <w:t>24</w:t>
      </w:r>
      <w:r>
        <w:t>户科技</w:t>
      </w:r>
      <w:r>
        <w:t>“</w:t>
      </w:r>
      <w:r>
        <w:t>小巨人</w:t>
      </w:r>
      <w:r>
        <w:t>”</w:t>
      </w:r>
      <w:r>
        <w:t>企业发放贷款</w:t>
      </w:r>
      <w:r>
        <w:t>2.57</w:t>
      </w:r>
      <w:r>
        <w:t>亿元。</w:t>
      </w:r>
    </w:p>
    <w:p w:rsidR="00C15506" w:rsidRPr="004D690F" w:rsidRDefault="00C15506" w:rsidP="00C15506">
      <w:pPr>
        <w:ind w:firstLineChars="200" w:firstLine="420"/>
        <w:jc w:val="right"/>
      </w:pPr>
      <w:r w:rsidRPr="004D690F">
        <w:rPr>
          <w:rFonts w:hint="eastAsia"/>
        </w:rPr>
        <w:t>人民银行</w:t>
      </w:r>
      <w:r w:rsidRPr="004D690F">
        <w:t>2021-10-28</w:t>
      </w:r>
    </w:p>
    <w:p w:rsidR="00C15506" w:rsidRDefault="00C15506" w:rsidP="00A66BA2">
      <w:pPr>
        <w:sectPr w:rsidR="00C15506" w:rsidSect="00A66BA2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D41A8F" w:rsidRDefault="00D41A8F"/>
    <w:sectPr w:rsidR="00D41A8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C15506"/>
    <w:rsid w:val="00C15506"/>
    <w:rsid w:val="00D41A8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C15506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C15506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129</Words>
  <Characters>736</Characters>
  <Application>Microsoft Office Word</Application>
  <DocSecurity>0</DocSecurity>
  <Lines>6</Lines>
  <Paragraphs>1</Paragraphs>
  <ScaleCrop>false</ScaleCrop>
  <Company>Win10NeT.COM</Company>
  <LinksUpToDate>false</LinksUpToDate>
  <CharactersWithSpaces>864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XiaZaiMa.COM</dc:creator>
  <cp:keywords/>
  <dc:description/>
  <cp:lastModifiedBy/>
  <cp:revision>1</cp:revision>
  <dcterms:created xsi:type="dcterms:W3CDTF">2022-07-04T07:08:00Z</dcterms:created>
</cp:coreProperties>
</file>