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096" w:rsidRDefault="00C20096">
      <w:pPr>
        <w:pStyle w:val="1"/>
      </w:pPr>
      <w:r>
        <w:rPr>
          <w:rFonts w:hint="eastAsia"/>
        </w:rPr>
        <w:t>中国民生银行青岛分行持续推进绿色金融业务发展</w:t>
      </w:r>
    </w:p>
    <w:p w:rsidR="00C20096" w:rsidRDefault="00C20096">
      <w:pPr>
        <w:jc w:val="left"/>
      </w:pPr>
      <w:r>
        <w:rPr>
          <w:rFonts w:hint="eastAsia"/>
        </w:rPr>
        <w:t xml:space="preserve">　　本报通讯员靳馥亦报道</w:t>
      </w:r>
    </w:p>
    <w:p w:rsidR="00C20096" w:rsidRDefault="00C20096">
      <w:pPr>
        <w:jc w:val="left"/>
      </w:pPr>
      <w:r>
        <w:rPr>
          <w:rFonts w:hint="eastAsia"/>
        </w:rPr>
        <w:t xml:space="preserve">　　本报讯为全面贯彻国家“十四五”规划和</w:t>
      </w:r>
      <w:r>
        <w:rPr>
          <w:rFonts w:hint="eastAsia"/>
        </w:rPr>
        <w:t>2035</w:t>
      </w:r>
      <w:r>
        <w:rPr>
          <w:rFonts w:hint="eastAsia"/>
        </w:rPr>
        <w:t>年远景目标纲要，中国民生银行青岛分行积极履行</w:t>
      </w:r>
      <w:r>
        <w:rPr>
          <w:rFonts w:hint="eastAsia"/>
        </w:rPr>
        <w:t>ESG</w:t>
      </w:r>
      <w:r>
        <w:rPr>
          <w:rFonts w:hint="eastAsia"/>
        </w:rPr>
        <w:t>及低碳发展社会责任，持续推进绿色金融业务发展。截至</w:t>
      </w:r>
      <w:r>
        <w:rPr>
          <w:rFonts w:hint="eastAsia"/>
        </w:rPr>
        <w:t>2021</w:t>
      </w:r>
      <w:r>
        <w:rPr>
          <w:rFonts w:hint="eastAsia"/>
        </w:rPr>
        <w:t>年末，民生银行青岛分行绿色金融业务余额突破</w:t>
      </w:r>
      <w:r>
        <w:rPr>
          <w:rFonts w:hint="eastAsia"/>
        </w:rPr>
        <w:t>40</w:t>
      </w:r>
      <w:r>
        <w:rPr>
          <w:rFonts w:hint="eastAsia"/>
        </w:rPr>
        <w:t>亿元，为地方经济转型升级提供了强劲动力。</w:t>
      </w:r>
    </w:p>
    <w:p w:rsidR="00C20096" w:rsidRDefault="00C20096">
      <w:pPr>
        <w:jc w:val="left"/>
      </w:pPr>
      <w:r>
        <w:rPr>
          <w:rFonts w:hint="eastAsia"/>
        </w:rPr>
        <w:t xml:space="preserve">　　多措并举奠定“绿色发展”基础。促进绿色发展，能源发挥着决定性作用。目前，我国能源消费结构仍然以传统能源为主，实现“双碳”目标任重道远，金融支持必不可少。民生银行青岛分行党委领导班子高度重视绿色金融业务发展，成立高质量发展领导小组，通过强化专项资源支持、建立考核评价体系、完善相关政策制度、加强专业团队培训及团队建设等举措，为绿色金融业务持续发展奠定坚实基础。在党委班子的带领下，青岛分行持续优化绿色投融资结构，扩大绿色信贷业务规模，打造多维度绿色金融产品服务，为数家区域能源龙头企业发放绿色信贷支持，在提供便捷高效金融服务的同时，助力能源企业向低能耗、低排放转型升级。</w:t>
      </w:r>
    </w:p>
    <w:p w:rsidR="00C20096" w:rsidRDefault="00C20096">
      <w:pPr>
        <w:jc w:val="left"/>
      </w:pPr>
      <w:r>
        <w:rPr>
          <w:rFonts w:hint="eastAsia"/>
        </w:rPr>
        <w:t xml:space="preserve">　　支持绿色交通建设彰显“民生力量”。交通运输行业是推动绿色发展，实现碳达峰、碳中和目标的关键领域。青岛某集团公司为民生银行总行级战略客户，纵深融合出行、建筑两大生态，对打造绿色、数字化城市轨道交通网络，服务广大市民，推进绿色发展有着重要意义。自建立战略合作关系以来，民生银行青岛分行立足地方绿色经济发展需求，充分发挥资金流向引导作用，为青岛地铁</w:t>
      </w:r>
      <w:r>
        <w:rPr>
          <w:rFonts w:hint="eastAsia"/>
        </w:rPr>
        <w:t>6</w:t>
      </w:r>
      <w:r>
        <w:rPr>
          <w:rFonts w:hint="eastAsia"/>
        </w:rPr>
        <w:t>号线、</w:t>
      </w:r>
      <w:r>
        <w:rPr>
          <w:rFonts w:hint="eastAsia"/>
        </w:rPr>
        <w:t>13</w:t>
      </w:r>
      <w:r>
        <w:rPr>
          <w:rFonts w:hint="eastAsia"/>
        </w:rPr>
        <w:t>号线等重点线路建设提供长期限、低成本资金支持，推动重点行业领域“绿色化改造”，减少对碳密集产业的依赖。</w:t>
      </w:r>
    </w:p>
    <w:p w:rsidR="00C20096" w:rsidRDefault="00C20096">
      <w:pPr>
        <w:jc w:val="left"/>
      </w:pPr>
      <w:r>
        <w:rPr>
          <w:rFonts w:hint="eastAsia"/>
        </w:rPr>
        <w:t xml:space="preserve">　　赋予“碳资产”市场价值。自</w:t>
      </w:r>
      <w:r>
        <w:rPr>
          <w:rFonts w:hint="eastAsia"/>
        </w:rPr>
        <w:t>2021</w:t>
      </w:r>
      <w:r>
        <w:rPr>
          <w:rFonts w:hint="eastAsia"/>
        </w:rPr>
        <w:t>年</w:t>
      </w:r>
      <w:r>
        <w:rPr>
          <w:rFonts w:hint="eastAsia"/>
        </w:rPr>
        <w:t>7</w:t>
      </w:r>
      <w:r>
        <w:rPr>
          <w:rFonts w:hint="eastAsia"/>
        </w:rPr>
        <w:t>月</w:t>
      </w:r>
      <w:r>
        <w:rPr>
          <w:rFonts w:hint="eastAsia"/>
        </w:rPr>
        <w:t>16</w:t>
      </w:r>
      <w:r>
        <w:rPr>
          <w:rFonts w:hint="eastAsia"/>
        </w:rPr>
        <w:t>日全国碳排放权交易市场启动以来，“碳资产”被赋予了市场价值，成为银行有价可依的有效质押品。民生银行青岛分行高度重视中碳登签约绑定工作，积极对接营销青烟威日地区重点碳排放企业，借助行内“市场通”产品优势，为企业提供配额查询、</w:t>
      </w:r>
      <w:r>
        <w:rPr>
          <w:rFonts w:hint="eastAsia"/>
        </w:rPr>
        <w:t>T+0</w:t>
      </w:r>
      <w:r>
        <w:rPr>
          <w:rFonts w:hint="eastAsia"/>
        </w:rPr>
        <w:t>无手续费的出入金等一系列服务。青岛分行以碳排放权配额质押作为主担保方式，为青岛某热电公司审批流动资金贷款</w:t>
      </w:r>
      <w:r>
        <w:rPr>
          <w:rFonts w:hint="eastAsia"/>
        </w:rPr>
        <w:t>2000</w:t>
      </w:r>
      <w:r>
        <w:rPr>
          <w:rFonts w:hint="eastAsia"/>
        </w:rPr>
        <w:t>万元，在支持绿色金融，服务实体经济高质量发展方面，探索出了一条可持续发展的新路径。</w:t>
      </w:r>
    </w:p>
    <w:p w:rsidR="00C20096" w:rsidRDefault="00C20096">
      <w:pPr>
        <w:ind w:firstLine="421"/>
        <w:jc w:val="left"/>
      </w:pPr>
      <w:r>
        <w:rPr>
          <w:rFonts w:hint="eastAsia"/>
        </w:rPr>
        <w:t>未来，民生银行青岛分行将继续坚定贯彻并积极落实国家绿色低碳转型战略，在风险可控的前提下，稳步加大绿色信贷投放力度，支持绿色经济、低碳经济、循环经济，有效促进碳达峰、碳中和，助力区域经济实现高质量发展。</w:t>
      </w:r>
    </w:p>
    <w:p w:rsidR="00C20096" w:rsidRDefault="00C20096">
      <w:pPr>
        <w:ind w:firstLine="420"/>
        <w:jc w:val="right"/>
      </w:pPr>
      <w:r>
        <w:rPr>
          <w:rFonts w:hint="eastAsia"/>
        </w:rPr>
        <w:t>日照日报</w:t>
      </w:r>
      <w:r>
        <w:rPr>
          <w:rFonts w:hint="eastAsia"/>
        </w:rPr>
        <w:t>2022-03-23</w:t>
      </w:r>
    </w:p>
    <w:p w:rsidR="00C20096" w:rsidRDefault="00C20096" w:rsidP="00225263">
      <w:pPr>
        <w:sectPr w:rsidR="00C20096" w:rsidSect="00225263">
          <w:type w:val="continuous"/>
          <w:pgSz w:w="11906" w:h="16838"/>
          <w:pgMar w:top="1644" w:right="1236" w:bottom="1418" w:left="1814" w:header="851" w:footer="907" w:gutter="0"/>
          <w:pgNumType w:start="1"/>
          <w:cols w:space="720"/>
          <w:docGrid w:type="lines" w:linePitch="341" w:charSpace="2373"/>
        </w:sectPr>
      </w:pPr>
    </w:p>
    <w:p w:rsidR="00167857" w:rsidRDefault="00167857"/>
    <w:sectPr w:rsidR="001678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096"/>
    <w:rsid w:val="00167857"/>
    <w:rsid w:val="00C200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00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00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877</Characters>
  <Application>Microsoft Office Word</Application>
  <DocSecurity>0</DocSecurity>
  <Lines>7</Lines>
  <Paragraphs>2</Paragraphs>
  <ScaleCrop>false</ScaleCrop>
  <Company>微软中国</Company>
  <LinksUpToDate>false</LinksUpToDate>
  <CharactersWithSpaces>1028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