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146" w:rsidRDefault="00D81146" w:rsidP="007E2E31">
      <w:pPr>
        <w:pStyle w:val="1"/>
      </w:pPr>
      <w:r w:rsidRPr="007E2E31">
        <w:rPr>
          <w:rFonts w:hint="eastAsia"/>
        </w:rPr>
        <w:t>商业银行践行社会责任取得积极成果</w:t>
      </w:r>
    </w:p>
    <w:p w:rsidR="00D81146" w:rsidRDefault="00D81146" w:rsidP="00D81146">
      <w:pPr>
        <w:ind w:firstLineChars="200" w:firstLine="420"/>
      </w:pPr>
      <w:r>
        <w:rPr>
          <w:rFonts w:hint="eastAsia"/>
        </w:rPr>
        <w:t>近期，多家银行相继发布社会责任报告，分别通过较为翔实的数据和生动的案例，全景回顾在去年新冠肺炎疫情反复、气象灾害时有发生等不利因素影响下，银行机构以实际行动服务实体经济、践行社会责任的相关情况。</w:t>
      </w:r>
    </w:p>
    <w:p w:rsidR="00D81146" w:rsidRDefault="00D81146" w:rsidP="00D81146">
      <w:pPr>
        <w:ind w:firstLineChars="200" w:firstLine="420"/>
      </w:pPr>
      <w:r>
        <w:rPr>
          <w:rFonts w:hint="eastAsia"/>
        </w:rPr>
        <w:t>从披露内容来看，各家银行环境、社会和公司治理（</w:t>
      </w:r>
      <w:r>
        <w:t>ESG</w:t>
      </w:r>
      <w:r>
        <w:t>）的管理渐入佳境。实际上，随着国内经济增长模式转变和</w:t>
      </w:r>
      <w:r>
        <w:t>“</w:t>
      </w:r>
      <w:r>
        <w:t>双碳</w:t>
      </w:r>
      <w:r>
        <w:t>”</w:t>
      </w:r>
      <w:r>
        <w:t>目标稳步推进，</w:t>
      </w:r>
      <w:r>
        <w:t>ESG</w:t>
      </w:r>
      <w:r>
        <w:t>理念受到社会各界的高度重视。</w:t>
      </w:r>
      <w:r>
        <w:t>“</w:t>
      </w:r>
      <w:r>
        <w:t>金融机构是践行</w:t>
      </w:r>
      <w:r>
        <w:t>ESG</w:t>
      </w:r>
      <w:r>
        <w:t>理念的重要力量，尤其是商业银行作为金融体系的重要组成部分，重视</w:t>
      </w:r>
      <w:r>
        <w:t>ESG</w:t>
      </w:r>
      <w:r>
        <w:t>、践行</w:t>
      </w:r>
      <w:r>
        <w:t>ESG</w:t>
      </w:r>
      <w:r>
        <w:t>对于整个经济社会发展具有重要意义。</w:t>
      </w:r>
      <w:r>
        <w:t>”</w:t>
      </w:r>
      <w:r>
        <w:t>中国银行研究院博士后汪惠青在接受《金融时报》记者采访时表示。</w:t>
      </w:r>
    </w:p>
    <w:p w:rsidR="00D81146" w:rsidRDefault="00D81146" w:rsidP="00D81146">
      <w:pPr>
        <w:ind w:firstLineChars="200" w:firstLine="420"/>
      </w:pPr>
      <w:r>
        <w:rPr>
          <w:rFonts w:hint="eastAsia"/>
        </w:rPr>
        <w:t>银行业高质量发展的普适性原则</w:t>
      </w:r>
    </w:p>
    <w:p w:rsidR="00D81146" w:rsidRDefault="00D81146" w:rsidP="00D81146">
      <w:pPr>
        <w:ind w:firstLineChars="200" w:firstLine="420"/>
      </w:pPr>
      <w:r>
        <w:rPr>
          <w:rFonts w:hint="eastAsia"/>
        </w:rPr>
        <w:t>从国内外</w:t>
      </w:r>
      <w:r>
        <w:t>ESG</w:t>
      </w:r>
      <w:r>
        <w:t>实践经验来看，在</w:t>
      </w:r>
      <w:r>
        <w:t>ESG</w:t>
      </w:r>
      <w:r>
        <w:t>的三个维度中，</w:t>
      </w:r>
      <w:r>
        <w:t>“</w:t>
      </w:r>
      <w:r>
        <w:t>环境维度</w:t>
      </w:r>
      <w:r>
        <w:t>”</w:t>
      </w:r>
      <w:r>
        <w:t>是受关注度最高的议题，银行机构主要通过发展绿色金融、实现自身的低碳运营等方式予以落实。</w:t>
      </w:r>
      <w:r>
        <w:t>“</w:t>
      </w:r>
      <w:r>
        <w:t>社会维度</w:t>
      </w:r>
      <w:r>
        <w:t>”</w:t>
      </w:r>
      <w:r>
        <w:t>的覆盖面则相对比较大，商业银行重点关注的议题有员工培训、社区服务、普惠金融、精准扶贫、公益慈善等，多家银行在这些层面的工作差异不大，六大行在资金投入规模方面优势显著。</w:t>
      </w:r>
      <w:r>
        <w:t>“</w:t>
      </w:r>
      <w:r>
        <w:t>治理维度</w:t>
      </w:r>
      <w:r>
        <w:t>”</w:t>
      </w:r>
      <w:r>
        <w:t>则更多强调加强党的领导与完善公司治理有机统一，并与服务实体经济、服务国家战略紧密结合。</w:t>
      </w:r>
    </w:p>
    <w:p w:rsidR="00D81146" w:rsidRDefault="00D81146" w:rsidP="00D81146">
      <w:pPr>
        <w:ind w:firstLineChars="200" w:firstLine="420"/>
      </w:pPr>
      <w:r>
        <w:rPr>
          <w:rFonts w:hint="eastAsia"/>
        </w:rPr>
        <w:t>“在全球积极应对气候变化的大背景下，践行</w:t>
      </w:r>
      <w:r>
        <w:t>ESG</w:t>
      </w:r>
      <w:r>
        <w:t>有利于推动银行业加速可持续发展转型，挖掘绿色低碳市场机遇。</w:t>
      </w:r>
      <w:r>
        <w:t>”</w:t>
      </w:r>
      <w:r>
        <w:t>汪惠青表示，银行业金融机构践行</w:t>
      </w:r>
      <w:r>
        <w:t>ESG</w:t>
      </w:r>
      <w:r>
        <w:t>，有助于更好适应行业监管趋势。</w:t>
      </w:r>
    </w:p>
    <w:p w:rsidR="00D81146" w:rsidRDefault="00D81146" w:rsidP="00D81146">
      <w:pPr>
        <w:ind w:firstLineChars="200" w:firstLine="420"/>
      </w:pPr>
      <w:r>
        <w:t>2020</w:t>
      </w:r>
      <w:r>
        <w:t>年</w:t>
      </w:r>
      <w:r>
        <w:t>1</w:t>
      </w:r>
      <w:r>
        <w:t>月，银保监会发布《关于推动银行业和保险业高质量发展的指导意见》（以下简称《指导意见》）。兴业研究团队认为，《指导意见》将加强环境与社会风险管理提升至银行业金融机构大力发展绿色金融的重要位置，标志着我国银行业绿色金融发展正向更深层次迈进，不再局限于绿色金融业务的开展，而是要将</w:t>
      </w:r>
      <w:r>
        <w:t>ESG</w:t>
      </w:r>
      <w:r>
        <w:t>要求延伸至银行所有自身经营活动以及授信业务的全流程中，</w:t>
      </w:r>
      <w:r>
        <w:t>ESG</w:t>
      </w:r>
      <w:r>
        <w:t>管理将成为银行业高质量发展的普适性原则。</w:t>
      </w:r>
    </w:p>
    <w:p w:rsidR="00D81146" w:rsidRDefault="00D81146" w:rsidP="00D81146">
      <w:pPr>
        <w:ind w:firstLineChars="200" w:firstLine="420"/>
      </w:pPr>
      <w:r>
        <w:rPr>
          <w:rFonts w:hint="eastAsia"/>
        </w:rPr>
        <w:t>汪惠青认为，将</w:t>
      </w:r>
      <w:r>
        <w:t>ESG</w:t>
      </w:r>
      <w:r>
        <w:t>理念融入日常经营，有助于商业银行更加稳健经营、规范治理，吸引主流投资机构的关注。同时，</w:t>
      </w:r>
      <w:r>
        <w:t>ESG</w:t>
      </w:r>
      <w:r>
        <w:t>是国际广泛采纳的可持续发展能力的评判标准，也是我国实现</w:t>
      </w:r>
      <w:r>
        <w:t>“</w:t>
      </w:r>
      <w:r>
        <w:t>双碳</w:t>
      </w:r>
      <w:r>
        <w:t>”</w:t>
      </w:r>
      <w:r>
        <w:t>目标的重要抓手。</w:t>
      </w:r>
    </w:p>
    <w:p w:rsidR="00D81146" w:rsidRDefault="00D81146" w:rsidP="00D81146">
      <w:pPr>
        <w:ind w:firstLineChars="200" w:firstLine="420"/>
      </w:pPr>
      <w:r>
        <w:rPr>
          <w:rFonts w:hint="eastAsia"/>
        </w:rPr>
        <w:t>将公司治理与服务实体经济紧密结合</w:t>
      </w:r>
    </w:p>
    <w:p w:rsidR="00D81146" w:rsidRDefault="00D81146" w:rsidP="00D81146">
      <w:pPr>
        <w:ind w:firstLineChars="200" w:firstLine="420"/>
      </w:pPr>
      <w:r>
        <w:rPr>
          <w:rFonts w:hint="eastAsia"/>
        </w:rPr>
        <w:t>通过梳理各家银行社会责任报告可以看到，在“公司治理”层面，去年，各家银行将公司治理与服务实体经济、履行社会责任紧密结合，取得积极成果。</w:t>
      </w:r>
    </w:p>
    <w:p w:rsidR="00D81146" w:rsidRDefault="00D81146" w:rsidP="00D81146">
      <w:pPr>
        <w:ind w:firstLineChars="200" w:firstLine="420"/>
      </w:pPr>
      <w:r>
        <w:rPr>
          <w:rFonts w:hint="eastAsia"/>
        </w:rPr>
        <w:t>工商银行的社会责任报告披露，在社会治理方面，该行实施“三新一高”公司信贷新布局，加快传统制造业转型升级和新兴制造业动能培育，重点支持绿色低碳、节能环保的新基础产业，助力医疗、教育、文化、旅游、养老、体育等新服务业的建设与发展，着力开拓专精特新高技术客群，成为国内首家公司贷款余额突破</w:t>
      </w:r>
      <w:r>
        <w:t>10</w:t>
      </w:r>
      <w:r>
        <w:t>万亿元、制造业贷款余额突破两万亿元的商业银行。</w:t>
      </w:r>
    </w:p>
    <w:p w:rsidR="00D81146" w:rsidRDefault="00D81146" w:rsidP="00D81146">
      <w:pPr>
        <w:ind w:firstLineChars="200" w:firstLine="420"/>
      </w:pPr>
      <w:r>
        <w:rPr>
          <w:rFonts w:hint="eastAsia"/>
        </w:rPr>
        <w:t>交通银行则坚持在完善公司治理中加强党的领导，从服务“国之大者”的高度，全面落实国家战略，倾力支持长三角区域一体化发展、粤港澳大湾区建设、海南自由贸易港和国家自贸区建设等。该行坚持以服务实体经济为核心，推动金融供给“总量增、结构优、费率降”。数据显示，报告期内，交行为实体经济提供超过</w:t>
      </w:r>
      <w:r>
        <w:t>1</w:t>
      </w:r>
      <w:r>
        <w:t>万亿元的增量信贷资金支持，为各类市场主体减费让利约</w:t>
      </w:r>
      <w:r>
        <w:t>173</w:t>
      </w:r>
      <w:r>
        <w:t>亿元。</w:t>
      </w:r>
    </w:p>
    <w:p w:rsidR="00D81146" w:rsidRDefault="00D81146" w:rsidP="00D81146">
      <w:pPr>
        <w:ind w:firstLineChars="200" w:firstLine="420"/>
      </w:pPr>
      <w:r>
        <w:rPr>
          <w:rFonts w:hint="eastAsia"/>
        </w:rPr>
        <w:t>中国银行在该行的社会责任报告中强调，</w:t>
      </w:r>
      <w:r>
        <w:t>2021</w:t>
      </w:r>
      <w:r>
        <w:t>年，该行把加强党的领导与完善公司治理有机统一，不断完善公司治理架构，提升公司治理水平；深化全面风险管理与合规管理体系建设，牢牢守住不发生系统性金融风险的底线。</w:t>
      </w:r>
    </w:p>
    <w:p w:rsidR="00D81146" w:rsidRDefault="00D81146" w:rsidP="00D81146">
      <w:pPr>
        <w:ind w:firstLineChars="200" w:firstLine="420"/>
      </w:pPr>
      <w:r>
        <w:rPr>
          <w:rFonts w:hint="eastAsia"/>
        </w:rPr>
        <w:t>立足乡村振兴新任务取得新成效</w:t>
      </w:r>
    </w:p>
    <w:p w:rsidR="00D81146" w:rsidRDefault="00D81146" w:rsidP="00D81146">
      <w:pPr>
        <w:ind w:firstLineChars="200" w:firstLine="420"/>
      </w:pPr>
      <w:r>
        <w:t>2021</w:t>
      </w:r>
      <w:r>
        <w:t>年，我国金融服务乡村振兴进入新的阶段。在此之前，金融服务乡村的重点是助力脱贫攻坚；在此之后，则进入全面推进乡村振兴、加快农业农村现代化的新发展阶段。可以看到，这一年，银行机构立足这一新任务新目标，持续增加信贷投入。</w:t>
      </w:r>
    </w:p>
    <w:p w:rsidR="00D81146" w:rsidRDefault="00D81146" w:rsidP="00D81146">
      <w:pPr>
        <w:ind w:firstLineChars="200" w:firstLine="420"/>
      </w:pPr>
      <w:r>
        <w:t>2021</w:t>
      </w:r>
      <w:r>
        <w:t>年，农业银行深入实施</w:t>
      </w:r>
      <w:r>
        <w:t>“</w:t>
      </w:r>
      <w:r>
        <w:t>三农</w:t>
      </w:r>
      <w:r>
        <w:t>”</w:t>
      </w:r>
      <w:r>
        <w:t>普惠战略，围绕粮食安全、农业产业发展、美丽宜居乡村建设等重点领域加大信贷支持力度，持续输送更多金融</w:t>
      </w:r>
      <w:r>
        <w:t>“</w:t>
      </w:r>
      <w:r>
        <w:t>活水</w:t>
      </w:r>
      <w:r>
        <w:t>”</w:t>
      </w:r>
      <w:r>
        <w:t>。截至</w:t>
      </w:r>
      <w:r>
        <w:t>2021</w:t>
      </w:r>
      <w:r>
        <w:t>年末，该行粮食安全领域贷款余额</w:t>
      </w:r>
      <w:r>
        <w:t>1926</w:t>
      </w:r>
      <w:r>
        <w:t>亿元，县域贷款余额</w:t>
      </w:r>
      <w:r>
        <w:t>6.2</w:t>
      </w:r>
      <w:r>
        <w:t>万亿元，增量、余额占比均创近</w:t>
      </w:r>
      <w:r>
        <w:t>10</w:t>
      </w:r>
      <w:r>
        <w:t>年来新高。</w:t>
      </w:r>
    </w:p>
    <w:p w:rsidR="00D81146" w:rsidRDefault="00D81146" w:rsidP="00D81146">
      <w:pPr>
        <w:ind w:firstLineChars="200" w:firstLine="420"/>
      </w:pPr>
      <w:r>
        <w:rPr>
          <w:rFonts w:hint="eastAsia"/>
        </w:rPr>
        <w:t>此外，为助力完成金融支持巩固拓展脱贫攻坚成果同乡村振兴有效衔接的任务目标，多家银行多措并举确保涉农金融投入稳定增长。</w:t>
      </w:r>
    </w:p>
    <w:p w:rsidR="00D81146" w:rsidRDefault="00D81146" w:rsidP="00D81146">
      <w:pPr>
        <w:ind w:firstLineChars="200" w:firstLine="420"/>
      </w:pPr>
      <w:r>
        <w:rPr>
          <w:rFonts w:hint="eastAsia"/>
        </w:rPr>
        <w:t>光大银行运用“光付通”数字金融产品，支持脱贫地区农副产品网络销售平台</w:t>
      </w:r>
      <w:r>
        <w:t>(</w:t>
      </w:r>
      <w:r>
        <w:t>即</w:t>
      </w:r>
      <w:r>
        <w:t>“832</w:t>
      </w:r>
      <w:r>
        <w:t>平台</w:t>
      </w:r>
      <w:r>
        <w:t>”</w:t>
      </w:r>
      <w:r>
        <w:t>）建设发展，带动</w:t>
      </w:r>
      <w:r>
        <w:t>200</w:t>
      </w:r>
      <w:r>
        <w:t>余万户农户增产增收；通过</w:t>
      </w:r>
      <w:r>
        <w:t>“</w:t>
      </w:r>
      <w:r>
        <w:t>光大购精彩</w:t>
      </w:r>
      <w:r>
        <w:t>”</w:t>
      </w:r>
      <w:r>
        <w:t>平台，围绕定点帮扶工作和乡村振兴战略，全力做好产业帮扶和消费帮扶。截至</w:t>
      </w:r>
      <w:r>
        <w:t>2021</w:t>
      </w:r>
      <w:r>
        <w:t>年</w:t>
      </w:r>
      <w:r>
        <w:t>12</w:t>
      </w:r>
      <w:r>
        <w:t>月末，该行涉农贷款余额</w:t>
      </w:r>
      <w:r>
        <w:t>3901.6</w:t>
      </w:r>
      <w:r>
        <w:t>亿元，较年初增加</w:t>
      </w:r>
      <w:r>
        <w:t>132.94</w:t>
      </w:r>
      <w:r>
        <w:t>亿元。</w:t>
      </w:r>
    </w:p>
    <w:p w:rsidR="00D81146" w:rsidRDefault="00D81146" w:rsidP="00D81146">
      <w:pPr>
        <w:ind w:firstLineChars="200" w:firstLine="420"/>
      </w:pPr>
      <w:r>
        <w:rPr>
          <w:rFonts w:hint="eastAsia"/>
        </w:rPr>
        <w:t>农业银行则持续做好对脱贫地区、定点帮扶县、国家乡村振兴重点帮扶县的金融服务，在</w:t>
      </w:r>
      <w:r>
        <w:t>832</w:t>
      </w:r>
      <w:r>
        <w:t>个脱贫县发放贷款余额</w:t>
      </w:r>
      <w:r>
        <w:t>1.47</w:t>
      </w:r>
      <w:r>
        <w:t>万亿元，增速高于全行贷款平均增速，助力巩固拓展脱贫攻坚成果。同时，该行坚持探索服务乡村振兴新模式，加快金融产品和场景金融建设，为</w:t>
      </w:r>
      <w:r>
        <w:t>“</w:t>
      </w:r>
      <w:r>
        <w:t>三农</w:t>
      </w:r>
      <w:r>
        <w:t>”</w:t>
      </w:r>
      <w:r>
        <w:t>金融服务插上科技翅膀。截至</w:t>
      </w:r>
      <w:r>
        <w:t>2021</w:t>
      </w:r>
      <w:r>
        <w:t>年末，线上化农户贷款</w:t>
      </w:r>
      <w:r>
        <w:t>“</w:t>
      </w:r>
      <w:r>
        <w:t>惠农</w:t>
      </w:r>
      <w:r>
        <w:t>e</w:t>
      </w:r>
      <w:r>
        <w:t>贷</w:t>
      </w:r>
      <w:r>
        <w:t>”</w:t>
      </w:r>
      <w:r>
        <w:t>余额</w:t>
      </w:r>
      <w:r>
        <w:t>5447</w:t>
      </w:r>
      <w:r>
        <w:t>亿元，惠及农户</w:t>
      </w:r>
      <w:r>
        <w:t>368</w:t>
      </w:r>
      <w:r>
        <w:t>万户。</w:t>
      </w:r>
    </w:p>
    <w:p w:rsidR="00D81146" w:rsidRDefault="00D81146" w:rsidP="007E2E31">
      <w:pPr>
        <w:ind w:firstLine="420"/>
        <w:jc w:val="right"/>
      </w:pPr>
      <w:r w:rsidRPr="007E2E31">
        <w:rPr>
          <w:rFonts w:hint="eastAsia"/>
        </w:rPr>
        <w:t>中国金融新闻网</w:t>
      </w:r>
      <w:r>
        <w:rPr>
          <w:rFonts w:hint="eastAsia"/>
        </w:rPr>
        <w:t>2022-4-19</w:t>
      </w:r>
    </w:p>
    <w:p w:rsidR="00D81146" w:rsidRDefault="00D81146" w:rsidP="007D3ECE">
      <w:pPr>
        <w:sectPr w:rsidR="00D81146" w:rsidSect="007D3ECE">
          <w:type w:val="continuous"/>
          <w:pgSz w:w="11906" w:h="16838"/>
          <w:pgMar w:top="1644" w:right="1236" w:bottom="1418" w:left="1814" w:header="851" w:footer="907" w:gutter="0"/>
          <w:pgNumType w:start="1"/>
          <w:cols w:space="720"/>
          <w:docGrid w:type="lines" w:linePitch="341" w:charSpace="2373"/>
        </w:sectPr>
      </w:pPr>
    </w:p>
    <w:p w:rsidR="00986729" w:rsidRDefault="00986729"/>
    <w:sectPr w:rsidR="009867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1146"/>
    <w:rsid w:val="00986729"/>
    <w:rsid w:val="00D811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11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11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1782</Characters>
  <Application>Microsoft Office Word</Application>
  <DocSecurity>0</DocSecurity>
  <Lines>14</Lines>
  <Paragraphs>4</Paragraphs>
  <ScaleCrop>false</ScaleCrop>
  <Company>微软中国</Company>
  <LinksUpToDate>false</LinksUpToDate>
  <CharactersWithSpaces>2090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2022-06-27T03:08:00Z</dcterms:created>
</cp:coreProperties>
</file>