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9D6" w:rsidRDefault="003C39D6" w:rsidP="007205C1">
      <w:pPr>
        <w:pStyle w:val="1"/>
        <w:spacing w:line="245" w:lineRule="auto"/>
      </w:pPr>
      <w:r w:rsidRPr="008B51E3">
        <w:rPr>
          <w:rFonts w:hint="eastAsia"/>
        </w:rPr>
        <w:t>人行宜丰县支行解难点通堵点金融为民显实效</w:t>
      </w:r>
    </w:p>
    <w:p w:rsidR="003C39D6" w:rsidRDefault="003C39D6" w:rsidP="003C39D6">
      <w:pPr>
        <w:spacing w:line="245" w:lineRule="auto"/>
        <w:ind w:firstLineChars="200" w:firstLine="420"/>
      </w:pPr>
      <w:r>
        <w:rPr>
          <w:rFonts w:hint="eastAsia"/>
        </w:rPr>
        <w:t>党史学习教育开展以来，人行宜丰县支行紧紧围绕“学党史、悟思想、办实事、开新局”的总要求，聚焦痛点、难点、堵点、盲点，推动“我为群众办实事”实践活动落地落实，不断提升人民群众的获得感、幸福感、安全感。</w:t>
      </w:r>
    </w:p>
    <w:p w:rsidR="003C39D6" w:rsidRDefault="003C39D6" w:rsidP="003C39D6">
      <w:pPr>
        <w:spacing w:line="245" w:lineRule="auto"/>
        <w:ind w:firstLineChars="200" w:firstLine="420"/>
      </w:pPr>
      <w:r>
        <w:rPr>
          <w:rFonts w:hint="eastAsia"/>
        </w:rPr>
        <w:t>聚焦“数字鸿沟”痛点，让金融助老“加”温度。该支行强化特色网点建设，推进智能服务适老化改造，除设置老年人爱心窗口及爱心专座，配备老花镜、放大镜、医药箱、轮椅等传统适老化设施，还指导金融机构推出老年版手机银行、老年版智能柜台操作机以及金晖借记卡等产品。为强化宣传教育引导，人行宜丰县支行组织开展“金暖银发进社区</w:t>
      </w:r>
      <w:r>
        <w:t xml:space="preserve"> </w:t>
      </w:r>
      <w:r>
        <w:t>网络安全为人民</w:t>
      </w:r>
      <w:r>
        <w:t>”</w:t>
      </w:r>
      <w:r>
        <w:t>主题宣传月活动，一方面帮助老年人学会安全使用智能手机，解决他们面临的</w:t>
      </w:r>
      <w:r>
        <w:t>“</w:t>
      </w:r>
      <w:r>
        <w:t>数字难题</w:t>
      </w:r>
      <w:r>
        <w:t>”</w:t>
      </w:r>
      <w:r>
        <w:t>；另一方面结合典型金融网络诈骗案例，向老年人宣传如何防范金融诈骗的相关知识。</w:t>
      </w:r>
      <w:r>
        <w:t>2021</w:t>
      </w:r>
      <w:r>
        <w:t>年以来，开展</w:t>
      </w:r>
      <w:r>
        <w:t>“</w:t>
      </w:r>
      <w:r>
        <w:t>助老</w:t>
      </w:r>
      <w:r>
        <w:rPr>
          <w:rFonts w:hint="eastAsia"/>
        </w:rPr>
        <w:t>”专题讲座、培训</w:t>
      </w:r>
      <w:r>
        <w:t>16</w:t>
      </w:r>
      <w:r>
        <w:t>场，涉农银行业机构增配存折一体机</w:t>
      </w:r>
      <w:r>
        <w:t>12</w:t>
      </w:r>
      <w:r>
        <w:t>台，全县</w:t>
      </w:r>
      <w:r>
        <w:t>43</w:t>
      </w:r>
      <w:r>
        <w:t>家银行网点基本完成</w:t>
      </w:r>
      <w:r>
        <w:t>“</w:t>
      </w:r>
      <w:r>
        <w:t>适老化</w:t>
      </w:r>
      <w:r>
        <w:t>”</w:t>
      </w:r>
      <w:r>
        <w:t>改造。</w:t>
      </w:r>
    </w:p>
    <w:p w:rsidR="003C39D6" w:rsidRDefault="003C39D6" w:rsidP="003C39D6">
      <w:pPr>
        <w:spacing w:line="245" w:lineRule="auto"/>
        <w:ind w:firstLineChars="200" w:firstLine="420"/>
      </w:pPr>
      <w:r>
        <w:rPr>
          <w:rFonts w:hint="eastAsia"/>
        </w:rPr>
        <w:t>聚焦“供需失衡”难点，让群众跑腿“减”路程。人行宜丰县支行将企业、个人信用报告互联网查询渠道通过《宜丰在线》、政务服务网站、“</w:t>
      </w:r>
      <w:r>
        <w:t>6·14</w:t>
      </w:r>
      <w:r>
        <w:t>信用记录关爱日</w:t>
      </w:r>
      <w:r>
        <w:t>”</w:t>
      </w:r>
      <w:r>
        <w:t>等主题现场宣传、柜台服务窗口公示等方式向公众宣传，同时针对征信查询点的情况增设查询网点。该支行创新</w:t>
      </w:r>
      <w:r>
        <w:t>“</w:t>
      </w:r>
      <w:r>
        <w:t>国债流动柜台进乡村</w:t>
      </w:r>
      <w:r>
        <w:t>”</w:t>
      </w:r>
      <w:r>
        <w:t>试点工作，在位置偏远的乡村设置购债</w:t>
      </w:r>
      <w:r>
        <w:t>“</w:t>
      </w:r>
      <w:r>
        <w:t>直通车</w:t>
      </w:r>
      <w:r>
        <w:t>”</w:t>
      </w:r>
      <w:r>
        <w:t>，共计帮助</w:t>
      </w:r>
      <w:r>
        <w:t>48</w:t>
      </w:r>
      <w:r>
        <w:t>名农户，成功购买国债</w:t>
      </w:r>
      <w:r>
        <w:t>88</w:t>
      </w:r>
      <w:r>
        <w:t>万元。</w:t>
      </w:r>
    </w:p>
    <w:p w:rsidR="003C39D6" w:rsidRDefault="003C39D6" w:rsidP="003C39D6">
      <w:pPr>
        <w:spacing w:line="245" w:lineRule="auto"/>
        <w:ind w:firstLineChars="200" w:firstLine="420"/>
      </w:pPr>
      <w:r>
        <w:rPr>
          <w:rFonts w:hint="eastAsia"/>
        </w:rPr>
        <w:t>聚焦“信息壁垒”堵点，让便民惠企“乘”效率。一是突出内外协同，优化完善电子退库系统，与税务、商业银行智能化审核和账户实时校验退税业务，实现退库数据信息在税务部门与国库之间自动化传输，加快了退库资金到账速度。截至</w:t>
      </w:r>
      <w:r>
        <w:t>2021</w:t>
      </w:r>
      <w:r>
        <w:t>年底，累计办理电子减免退税业务</w:t>
      </w:r>
      <w:r>
        <w:t>1751</w:t>
      </w:r>
      <w:r>
        <w:t>笔，金额</w:t>
      </w:r>
      <w:r>
        <w:t>815.15</w:t>
      </w:r>
      <w:r>
        <w:t>万元；开展办理</w:t>
      </w:r>
      <w:r>
        <w:t>“</w:t>
      </w:r>
      <w:r>
        <w:t>个人所得税汇算清缴退税</w:t>
      </w:r>
      <w:r>
        <w:t>”“</w:t>
      </w:r>
      <w:r>
        <w:t>个税代扣代缴手续费退库</w:t>
      </w:r>
      <w:r>
        <w:t>”</w:t>
      </w:r>
      <w:r>
        <w:t>等新业务，及时落实国家相关政策要求，截至</w:t>
      </w:r>
      <w:r>
        <w:t>2021</w:t>
      </w:r>
      <w:r>
        <w:t>年底，共完成汇算清缴退税</w:t>
      </w:r>
      <w:r>
        <w:t>3675</w:t>
      </w:r>
      <w:r>
        <w:t>笔，金额</w:t>
      </w:r>
      <w:r>
        <w:t>135.5</w:t>
      </w:r>
      <w:r>
        <w:t>万元，手续费退税</w:t>
      </w:r>
      <w:r>
        <w:t>92</w:t>
      </w:r>
      <w:r>
        <w:t>笔，金额</w:t>
      </w:r>
      <w:r>
        <w:t>19.32</w:t>
      </w:r>
      <w:r>
        <w:t>万元。二是大力发展自助终端等电</w:t>
      </w:r>
      <w:r>
        <w:rPr>
          <w:rFonts w:hint="eastAsia"/>
        </w:rPr>
        <w:t>子服务渠道，建成农村普惠金融服务站</w:t>
      </w:r>
      <w:r>
        <w:t>43</w:t>
      </w:r>
      <w:r>
        <w:t>个，实现一站式、多功能、全方位服务，打通普惠金融</w:t>
      </w:r>
      <w:r>
        <w:t>“</w:t>
      </w:r>
      <w:r>
        <w:t>最后一公里</w:t>
      </w:r>
      <w:r>
        <w:t>”</w:t>
      </w:r>
      <w:r>
        <w:t>，满足群众农业生产、致富增收的多样化金融需求，更好地推动乡村振兴战略在江西宜丰大地开花结果。</w:t>
      </w:r>
    </w:p>
    <w:p w:rsidR="003C39D6" w:rsidRDefault="003C39D6" w:rsidP="003C39D6">
      <w:pPr>
        <w:spacing w:line="245" w:lineRule="auto"/>
        <w:ind w:firstLineChars="200" w:firstLine="420"/>
      </w:pPr>
      <w:r>
        <w:rPr>
          <w:rFonts w:hint="eastAsia"/>
        </w:rPr>
        <w:t>聚焦“资源转化”盲点，用创新补短板。一年来，宜丰县“环保贷”“绿能贷”“光伏贷”等绿色贷款产品加速推广，绿色创新组合贷等新型创新类绿色信贷产品相继落地。人行宜丰县支行推动金融机构将绿色理念融入贷款主渠道，加大对绿色产业和绿色项目的金融支持力度，成功对接</w:t>
      </w:r>
      <w:r>
        <w:t>11</w:t>
      </w:r>
      <w:r>
        <w:t>家银行、</w:t>
      </w:r>
      <w:r>
        <w:t>26</w:t>
      </w:r>
      <w:r>
        <w:t>家核心企业，绿色融资金额几何级数增长。同时加快推动</w:t>
      </w:r>
      <w:r>
        <w:t>“</w:t>
      </w:r>
      <w:r>
        <w:t>两权</w:t>
      </w:r>
      <w:r>
        <w:t>”</w:t>
      </w:r>
      <w:r>
        <w:t>抵押贷款、</w:t>
      </w:r>
      <w:r>
        <w:t>“</w:t>
      </w:r>
      <w:r>
        <w:t>毛竹贷</w:t>
      </w:r>
      <w:r>
        <w:t>”</w:t>
      </w:r>
      <w:r>
        <w:t>等信贷产品，盘活农村</w:t>
      </w:r>
      <w:r>
        <w:t>“</w:t>
      </w:r>
      <w:r>
        <w:t>沉睡</w:t>
      </w:r>
      <w:r>
        <w:t>”</w:t>
      </w:r>
      <w:r>
        <w:t>资产。截至</w:t>
      </w:r>
      <w:r>
        <w:t>2021</w:t>
      </w:r>
      <w:r>
        <w:t>底，宜丰</w:t>
      </w:r>
      <w:r>
        <w:t>“</w:t>
      </w:r>
      <w:r>
        <w:t>两权</w:t>
      </w:r>
      <w:r>
        <w:t>”</w:t>
      </w:r>
      <w:r>
        <w:t>抵押贷款余额</w:t>
      </w:r>
      <w:r>
        <w:t>1.94</w:t>
      </w:r>
      <w:r>
        <w:t>亿元，其中，农房抵押贷款</w:t>
      </w:r>
      <w:r>
        <w:t>1.17</w:t>
      </w:r>
      <w:r>
        <w:t>亿元</w:t>
      </w:r>
      <w:r>
        <w:t>,</w:t>
      </w:r>
      <w:r>
        <w:t>通过该类贷款支持土地流转和林地流转。</w:t>
      </w:r>
    </w:p>
    <w:p w:rsidR="003C39D6" w:rsidRDefault="003C39D6" w:rsidP="007205C1">
      <w:pPr>
        <w:spacing w:line="245" w:lineRule="auto"/>
        <w:ind w:firstLine="420"/>
        <w:jc w:val="right"/>
      </w:pPr>
      <w:r w:rsidRPr="008B51E3">
        <w:rPr>
          <w:rFonts w:hint="eastAsia"/>
        </w:rPr>
        <w:t>中国金融新闻网</w:t>
      </w:r>
      <w:r>
        <w:rPr>
          <w:rFonts w:hint="eastAsia"/>
        </w:rPr>
        <w:t>2022-2-23</w:t>
      </w:r>
    </w:p>
    <w:p w:rsidR="003C39D6" w:rsidRDefault="003C39D6" w:rsidP="00176B33">
      <w:pPr>
        <w:sectPr w:rsidR="003C39D6" w:rsidSect="00176B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43FF" w:rsidRDefault="006143FF"/>
    <w:sectPr w:rsidR="006143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C39D6"/>
    <w:rsid w:val="003C39D6"/>
    <w:rsid w:val="00614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C39D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C39D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1046</Characters>
  <Application>Microsoft Office Word</Application>
  <DocSecurity>0</DocSecurity>
  <Lines>8</Lines>
  <Paragraphs>2</Paragraphs>
  <ScaleCrop>false</ScaleCrop>
  <Company>微软中国</Company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2022-06-27T06:31:00Z</dcterms:created>
</cp:coreProperties>
</file>