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6D5" w:rsidRDefault="00B816D5" w:rsidP="005F4BEE">
      <w:pPr>
        <w:pStyle w:val="1"/>
      </w:pPr>
      <w:r w:rsidRPr="005F4BEE">
        <w:rPr>
          <w:rFonts w:hint="eastAsia"/>
        </w:rPr>
        <w:t>现代金融助力“十四五”发明成果转化</w:t>
      </w:r>
    </w:p>
    <w:p w:rsidR="00B816D5" w:rsidRDefault="00B816D5" w:rsidP="00B816D5">
      <w:pPr>
        <w:ind w:firstLineChars="200" w:firstLine="420"/>
      </w:pPr>
      <w:r>
        <w:t>2021</w:t>
      </w:r>
      <w:r>
        <w:t>年是中国</w:t>
      </w:r>
      <w:r>
        <w:t>“</w:t>
      </w:r>
      <w:r>
        <w:t>十四五</w:t>
      </w:r>
      <w:r>
        <w:t>”</w:t>
      </w:r>
      <w:r>
        <w:t>的开局之年，各项战略愿景、目标蓝图备受瞩目。特别是</w:t>
      </w:r>
      <w:r>
        <w:t>“</w:t>
      </w:r>
      <w:r>
        <w:t>十四五</w:t>
      </w:r>
      <w:r>
        <w:t>”</w:t>
      </w:r>
      <w:r>
        <w:t>规划中提出聚焦量子信息、光子与微纳电子、网络通信、人工智能、生物医药、现代能源系统等重大创新领域规划，更是让国内外投资界兴奋不已。如何发挥现代金融优化资源配置功能，更好促进发明成果转化，助力实现</w:t>
      </w:r>
      <w:r>
        <w:t>“</w:t>
      </w:r>
      <w:r>
        <w:t>十四五</w:t>
      </w:r>
      <w:r>
        <w:t>”</w:t>
      </w:r>
      <w:r>
        <w:t>规划，是摆在中国金融界面前的历史使命和挑战。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科技产业升级必须依托现代金融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“十四五”规划明确指出“全社会研发经费投入年均增长</w:t>
      </w:r>
      <w:r>
        <w:t>7%</w:t>
      </w:r>
      <w:r>
        <w:t>以上</w:t>
      </w:r>
      <w:r>
        <w:t>”</w:t>
      </w:r>
      <w:r>
        <w:t>，这与中国宏观经济发展阶段相匹配。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改革开放</w:t>
      </w:r>
      <w:r>
        <w:t>40</w:t>
      </w:r>
      <w:r>
        <w:t>余年，我国将原有的小农经济升级为开放的市场经济，力求通过科技成果引进实现自身领域的科技升级和产业布局。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随着我国各产业逐渐形成相对完善的“技术树”和产业链，中国能向国外引进技术的空间已经局限在极少数“高精尖、卡脖子”领域。一方面，西方发达经济体不愿意、也不可能放弃仅剩的技术优势；另一方面，中国自己也有了相当的财力储备，在相当长的时期内可以维持超过西方发达经济体的科研投入比例，培育自己的科技发明能力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针对这种国家战略的转变，金融系统也面临历史性的机遇和挑战。回顾中国城镇化历程，以商业银行为主力军的间接融资体系发挥了重要的积极作用。中国清晰的“自上而下”的信用体系，辅以银行间债券市场的快速发展，为各级政府、房地产上下游企业、居民商业住房需求提供了充足的贷款保障，对中国迅速的城镇化进程起到了决定性作用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今天，中国已经是世界上最快速度提高普通居民住房需求的国家。但随着人均住房面积的稳步提高，房地产泡沫的风险也逐渐积累。更为严峻的是，科技发明成果不像土地或房产，很难被金融体系定价质押贷款；或者说，技术发明很难像固定资产一样，成为银行贷款的抵押品。“间接融资”体系无法为即将到来的“十四五”发明成果转化大潮提供必要的金融服务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因此，只有发挥各方面的积极性，响应党中央的号召，积极发展多层次资本市场，提高直接融资在金融体系中的比例，才能更好服务中国经济的转型升级。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近年来，中国股市提高增发股票便利性、在上海证券交易所开设科创板、全面推进注册制改革、加大资本市场国际开放程度，都是中国现代金融供给侧结构性改革的战略举措，实现“十四五”规划的愿景目标。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发明成果转化必须调动各方面积极性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现代金融的核心功能是优化全社会的资源配置效率。在科技领域，现代金融服务发明成果转化，其关键职能就是将我们有限的资金、土地等资源配置到那些更有利于经济发展的科技项目、更能带来社会进步的技术创新。因此，通过直接融资促进发明成果转化，并不意味着要抛弃现有的发展理念，而是要继承和发扬改革开放艰苦奋斗的开拓精神，充分调动各方面的积极性，最大化发挥中国特色社会主义的制度优势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首先，现代金融服务发明成果转化必须要调动传统产业的积极性。任何发明成果，从最初的技术雏形到最终服务社会的成熟产品，必须要积极开拓市场。因此，中国科技系统一直以来的痛点问题，就是如何让更多的好技术惠及民生、服务社会。另一方面，以房地产上下游企业、资源型企业为代表的传统产业虽然资金雄厚，但面临“业绩天花板”的转型升级挑战和“无科技进步就被市场淘汰”的风险。因此，要鼓励传统产业不要将视野局限于商业银行，而是积极寻求投资银行专家“把脉会诊、出谋划策”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其次，发明成果落地、资本化，必须要调动地方政府的积极性。对于各级地方政府，“十四五”科技路线的挑战，意味着增长方式的转变、招商引资路径的转变。越来越多的书记、市长已经意识到，必须努力将发明成果转化为生产力、转化为本地的就业和税收，才能保障城市的可持续发展。因此，要鼓励地方政府将视线延展到投资银行、产业基金、创投基金领域，将有限的政府公共财力和土地供给倾斜到发明成果转化“直接投融资”领域，实现“资本招商”的创新模式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第三，发明成果落地、证券化，必须要调动科学家的积极性。二十一世纪的竞争，归根到底是人才的竞争，科技人才更是一个国家发展的硬核动力。破题中国科技转化体系痛点问题，必须要加强对科技人才的现代金融知识的普及，引导科学家正确认识资本市场的机制优点和固有缺陷，让中国的科学家们理解、会用、善用、巧用正在蓬勃发展的中国多层次资本市场，在自身科研成果有效转化为生产力的同时，服务国家大局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巧用现代金融工具助力创新融资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随着社会各界对科技成果转化重要性的认识，各类旨在“顺滑”转化过程的中介机构和研究机构大量涌现，中国金融体系助力发明成果转化的创新产品也日益丰富。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上市公司具有资金和品牌优势，是高科技风险投资项目的最佳“资本退出”渠道，是多层次资本市场“金字塔顶端”。在地方政府的支持下，区域特征的上市企业通过产业联盟，协同对应的成果转化产业基金，是实现“项目</w:t>
      </w:r>
      <w:r>
        <w:t>+</w:t>
      </w:r>
      <w:r>
        <w:t>人才</w:t>
      </w:r>
      <w:r>
        <w:t>+</w:t>
      </w:r>
      <w:r>
        <w:t>资本</w:t>
      </w:r>
      <w:r>
        <w:t>+</w:t>
      </w:r>
      <w:r>
        <w:t>上市倍增</w:t>
      </w:r>
      <w:r>
        <w:t>”</w:t>
      </w:r>
      <w:r>
        <w:t>计划的最佳路线，有利于吸引海内外科学家和高端实验室，是一个多赢的资本创新尝试，可以适度平衡直接融资中的</w:t>
      </w:r>
      <w:r>
        <w:t>“</w:t>
      </w:r>
      <w:r>
        <w:t>资金安全、资本利得、风险控制</w:t>
      </w:r>
      <w:r>
        <w:t>”</w:t>
      </w:r>
      <w:r>
        <w:t>。</w:t>
      </w:r>
    </w:p>
    <w:p w:rsidR="00B816D5" w:rsidRDefault="00B816D5" w:rsidP="00B816D5">
      <w:pPr>
        <w:ind w:firstLineChars="200" w:firstLine="420"/>
      </w:pPr>
      <w:r>
        <w:rPr>
          <w:rFonts w:hint="eastAsia"/>
        </w:rPr>
        <w:t>大鹏之动，非一羽之轻也；骐骥之速，非一足之力也。中国发明成果转化、各地方经济的转型升级，不是一朝一夕就能实现的。只有各级政府机构、各界工商企业、现代金融业共同努力，紧扣中国多层次资本市场的持续建设，巧用金融创新工具，才能激发社会各界的主观能动性，让中国经济这只“大鹏鸟”继续翱翔在世界，实现中华民族伟大复兴。</w:t>
      </w:r>
    </w:p>
    <w:p w:rsidR="00B816D5" w:rsidRPr="005F4BEE" w:rsidRDefault="00B816D5" w:rsidP="005F4BEE">
      <w:pPr>
        <w:jc w:val="right"/>
      </w:pPr>
      <w:r w:rsidRPr="005F4BEE">
        <w:rPr>
          <w:rFonts w:hint="eastAsia"/>
        </w:rPr>
        <w:t>经济网</w:t>
      </w:r>
      <w:r>
        <w:rPr>
          <w:rFonts w:hint="eastAsia"/>
        </w:rPr>
        <w:t>2021-4-29</w:t>
      </w:r>
    </w:p>
    <w:p w:rsidR="00B816D5" w:rsidRDefault="00B816D5" w:rsidP="00B17A61">
      <w:pPr>
        <w:sectPr w:rsidR="00B816D5" w:rsidSect="00B17A6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D6E80" w:rsidRDefault="00ED6E80"/>
    <w:sectPr w:rsidR="00ED6E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816D5"/>
    <w:rsid w:val="00B816D5"/>
    <w:rsid w:val="00ED6E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816D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816D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327</Words>
  <Characters>1868</Characters>
  <Application>Microsoft Office Word</Application>
  <DocSecurity>0</DocSecurity>
  <Lines>15</Lines>
  <Paragraphs>4</Paragraphs>
  <ScaleCrop>false</ScaleCrop>
  <Company>Microsoft</Company>
  <LinksUpToDate>false</LinksUpToDate>
  <CharactersWithSpaces>2191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2022-06-21T07:56:00Z</dcterms:created>
</cp:coreProperties>
</file>