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1BE9" w:rsidRDefault="00871BE9" w:rsidP="006B7A3F">
      <w:pPr>
        <w:pStyle w:val="1"/>
        <w:spacing w:line="245" w:lineRule="auto"/>
      </w:pPr>
      <w:r w:rsidRPr="00D662D8">
        <w:rPr>
          <w:rFonts w:hint="eastAsia"/>
        </w:rPr>
        <w:t>着力提升科技进步与创新水平——“十四五”时期金昌市科技创新工作展望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“十三五”以来，我市坚持实施创新驱动发展战略，着力推进科技进步与创新，积极开展省级创新型城市和科技成果转移转化示范区创建工作，推动科技与经济深入融合，全市科技创新生态环境不断优化，市企科技合作不断深入，创新平台建设和基础条件不断夯实，科技创新能力、科技成果转化应用等工作取得了明显进步。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市科技局局长马勇说：“‘十三五’期间，我们坚持实施创新驱动发展战略，突出补短板、破瓶颈、建机制，在圆满完成‘十三五’科技创新规划既定目标的同时，我市已迈进省级创新型城市和省级科技成果转移转化示范区行列，永昌县成功创建省级创新型试点县，建成</w:t>
      </w:r>
      <w:r>
        <w:t>1</w:t>
      </w:r>
      <w:r>
        <w:t>家国家级科技企业孵化器，</w:t>
      </w:r>
      <w:r>
        <w:t>‘</w:t>
      </w:r>
      <w:r>
        <w:t>十三五</w:t>
      </w:r>
      <w:r>
        <w:t>’</w:t>
      </w:r>
      <w:r>
        <w:t>末预计科技进步贡献率达</w:t>
      </w:r>
      <w:r>
        <w:t>60%</w:t>
      </w:r>
      <w:r>
        <w:t>。</w:t>
      </w:r>
      <w:r>
        <w:t>”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谈及“十四五”期间的科技创新规划，马勇说：“‘十四五’时期，全市科技系统将坚定不移地实施创新驱动发展战略，围绕‘两区两城两融合’发展思路，着力优化科技创新生态环境，突出成果产出和效益产出，集聚科技资源，补齐创新链短板，持续提升科技创新对全市高质量发展的支撑引领能力。”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“十四五”时期，我市将进一步提升科技实力和创新能力，进一步增强企业创新主体地位和自主创新能力，进一步优化科技资源配置，力争在重点产业领域和关键技术环节取得重大突破，推进科技体制改革取得实质性进展，推动创新驱动发展取得显著成效，助力我市综合科技进步水平进入全省前列，迈进创新型城市行列。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我市将统筹优质创新资源，争取国家、省级科技创新平台在金布局；加大资金投入，支持现有各类创新平台开展基础与应用研究，补齐重点领域技术供给，积极发展以先进技术研发、成果转化和产业孵化为特点的新型研发机构，提高自主创新能力；加快推进省级高新技术产业开发区建设，努力把金昌经开区建成科技产业集群创新基地。到</w:t>
      </w:r>
      <w:r>
        <w:t>2025</w:t>
      </w:r>
      <w:r>
        <w:t>年，计划建成</w:t>
      </w:r>
      <w:r>
        <w:t>3D</w:t>
      </w:r>
      <w:r>
        <w:t>打印金属材料研究院、苜蓿新品种研究院，建成国家农业科技园区</w:t>
      </w:r>
      <w:r>
        <w:t>1</w:t>
      </w:r>
      <w:r>
        <w:t>个，加快布局科技创新平台（基地）建设。为强化共性和关键核心技术攻关，我市将进一步推进产学研合作，集中优势科技资源，围绕镍铜钴新</w:t>
      </w:r>
      <w:r>
        <w:rPr>
          <w:rFonts w:hint="eastAsia"/>
        </w:rPr>
        <w:t>材料、菜草畜产业创新需求，建立重大科技攻关项目“揭榜挂帅”机制，突破制约产业和行业发展的共性、关键核心技术，提升产业、产品的市场竞争力。到</w:t>
      </w:r>
      <w:r>
        <w:t>2025</w:t>
      </w:r>
      <w:r>
        <w:t>年，力争全社会</w:t>
      </w:r>
      <w:r>
        <w:t>R&amp;D</w:t>
      </w:r>
      <w:r>
        <w:t>经费投入强度达到</w:t>
      </w:r>
      <w:r>
        <w:t>2%</w:t>
      </w:r>
      <w:r>
        <w:t>以上，技术交易额达到</w:t>
      </w:r>
      <w:r>
        <w:t>9</w:t>
      </w:r>
      <w:r>
        <w:t>亿元。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马勇说，下一步，我市将实施科技企业孵化器筑巢育凤行动计划，依托新型研发机构、产业园区和优势龙头企业，打造低成本、全要素、便利化、开放式的众创空间等科技企业孵化器集群建设，形成从创业苗圃、孵化器、加速器到产业园的全链条大孵化载体，推动科技企业孵化器创新要素整合，提高整体孵化效率。力争</w:t>
      </w:r>
      <w:r>
        <w:t>2025</w:t>
      </w:r>
      <w:r>
        <w:t>年，依托金昌经开区科技企业孵化器和金川集团公司专业众创空间，全面建成孵化器</w:t>
      </w:r>
      <w:r>
        <w:t>-</w:t>
      </w:r>
      <w:r>
        <w:t>加速器</w:t>
      </w:r>
      <w:r>
        <w:t>-</w:t>
      </w:r>
      <w:r>
        <w:t>产业园孵化链条，完善企业孵化培育体系。</w:t>
      </w:r>
    </w:p>
    <w:p w:rsidR="00871BE9" w:rsidRDefault="00871BE9" w:rsidP="00871BE9">
      <w:pPr>
        <w:spacing w:line="245" w:lineRule="auto"/>
        <w:ind w:firstLineChars="200" w:firstLine="420"/>
      </w:pPr>
      <w:r>
        <w:rPr>
          <w:rFonts w:hint="eastAsia"/>
        </w:rPr>
        <w:t>此外，我市还将实施创新型企业培育行动，加大科技型中小企业跟踪服务力度，加快培育一批具有自主知识产权和核心技术的“单打冠军”；以省级有色金属新材料创新创业示范园（省级高新区）为载体，大力引进符合我市产业需求的知识产权优势企业和创新型企业，着力培育高新技术企业，推进高新技术产业发展，力争</w:t>
      </w:r>
      <w:r>
        <w:t>2025</w:t>
      </w:r>
      <w:r>
        <w:t>年全市高新技术企业达到</w:t>
      </w:r>
      <w:r>
        <w:t>60</w:t>
      </w:r>
      <w:r>
        <w:t>家。</w:t>
      </w:r>
    </w:p>
    <w:p w:rsidR="00871BE9" w:rsidRDefault="00871BE9" w:rsidP="006B7A3F">
      <w:pPr>
        <w:spacing w:line="245" w:lineRule="auto"/>
        <w:ind w:firstLine="420"/>
        <w:jc w:val="right"/>
      </w:pPr>
      <w:r w:rsidRPr="00D662D8">
        <w:rPr>
          <w:rFonts w:hint="eastAsia"/>
        </w:rPr>
        <w:t>金昌日报</w:t>
      </w:r>
      <w:r>
        <w:rPr>
          <w:rFonts w:hint="eastAsia"/>
        </w:rPr>
        <w:t>2021-3-4</w:t>
      </w:r>
    </w:p>
    <w:p w:rsidR="00871BE9" w:rsidRDefault="00871BE9" w:rsidP="00587F60">
      <w:pPr>
        <w:sectPr w:rsidR="00871BE9" w:rsidSect="00587F6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7052" w:rsidRDefault="00207052"/>
    <w:sectPr w:rsidR="0020705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71BE9"/>
    <w:rsid w:val="00207052"/>
    <w:rsid w:val="00871B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71B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71B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1154</Characters>
  <Application>Microsoft Office Word</Application>
  <DocSecurity>0</DocSecurity>
  <Lines>9</Lines>
  <Paragraphs>2</Paragraphs>
  <ScaleCrop>false</ScaleCrop>
  <Company>Microsoft</Company>
  <LinksUpToDate>false</LinksUpToDate>
  <CharactersWithSpaces>1354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2022-06-21T08:20:00Z</dcterms:created>
</cp:coreProperties>
</file>