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CA0" w:rsidRDefault="00AA3CA0" w:rsidP="00DA1647">
      <w:pPr>
        <w:pStyle w:val="1"/>
      </w:pPr>
      <w:r>
        <w:rPr>
          <w:rFonts w:hint="eastAsia"/>
        </w:rPr>
        <w:t>泰安</w:t>
      </w:r>
      <w:r w:rsidRPr="00DA1647">
        <w:rPr>
          <w:rFonts w:hint="eastAsia"/>
        </w:rPr>
        <w:t>市人防办创新实施“三个纳入”助推防空地下室建设管理提速增效</w:t>
      </w:r>
    </w:p>
    <w:p w:rsidR="00AA3CA0" w:rsidRDefault="00AA3CA0" w:rsidP="00AA3CA0">
      <w:pPr>
        <w:ind w:firstLineChars="200" w:firstLine="420"/>
      </w:pPr>
      <w:r>
        <w:rPr>
          <w:rFonts w:hint="eastAsia"/>
        </w:rPr>
        <w:t>为贯彻落实新发展理念，深入推进“放管服”改革和工程建设项目审批制度改革，持续推进防空地下室建设管理提速增效。</w:t>
      </w:r>
    </w:p>
    <w:p w:rsidR="00AA3CA0" w:rsidRDefault="00AA3CA0" w:rsidP="00AA3CA0">
      <w:pPr>
        <w:ind w:firstLineChars="200" w:firstLine="420"/>
      </w:pPr>
      <w:r>
        <w:rPr>
          <w:rFonts w:hint="eastAsia"/>
        </w:rPr>
        <w:t>近日，市人防办会同规划、行政审批部门对防空地下室建设管理实施了流程再造，创新实施“三个纳入”，即将防空地下室建设要求纳入建设用地规划条件，将防空地下室设计条件纳入建设工程规划许可，将防空地下室施工要求纳入建筑工程施工许可，以改革三连击的方式，强力助推防空地下室建设管理提速增效。</w:t>
      </w:r>
    </w:p>
    <w:p w:rsidR="00AA3CA0" w:rsidRDefault="00AA3CA0" w:rsidP="00AA3CA0">
      <w:pPr>
        <w:ind w:firstLineChars="200" w:firstLine="420"/>
      </w:pPr>
      <w:r>
        <w:rPr>
          <w:rFonts w:hint="eastAsia"/>
        </w:rPr>
        <w:t>一是防空地下室建设要求纳入《建设用地规划条件》。自然资源和规划部门在编制《建设用地规划条件》时，将该地块防空地下室建设的相关要求纳入规划条件。明确规定，城市规划区内新建民用建筑，按照不低于工程建设项目规划批准的地面建筑物总面积</w:t>
      </w:r>
      <w:r>
        <w:t>7%</w:t>
      </w:r>
      <w:r>
        <w:t>修建防空地下室。因地质、地形等原因不宜修建防空地下室的，按照《山东省人民防空工程管理办法》等相关规定执行。同时应符合国家、省、市有关人民防空规范及规定要求。建设单位在通过出让、划拨等方式获取国有建设用地使用权时，根据《建设用地规划条件》，即可掌握该地段防空地下室建设的基本要求。</w:t>
      </w:r>
    </w:p>
    <w:p w:rsidR="00AA3CA0" w:rsidRDefault="00AA3CA0" w:rsidP="00AA3CA0">
      <w:pPr>
        <w:ind w:firstLineChars="200" w:firstLine="420"/>
      </w:pPr>
      <w:r>
        <w:t>二是防空地下室设计条件纳入《建设工程规划许可证》。将《结合民用建筑修建防空地下室审批》纳入建设工程规划许可证核发事项。建设单位提供</w:t>
      </w:r>
      <w:r>
        <w:rPr>
          <w:rFonts w:hint="eastAsia"/>
        </w:rPr>
        <w:t>一套申报材料，同时办理规划许可证和人防结建审批。在两个事项准予批准后，仅出具《建设工程规划许可证》，不再单独出具《结合民用建筑修建防空地下室审批》决定文书，防空地下室的建设规模、防护等级、战时用途等设计要求和决定有效期将载入《建设工程规划许可证》，与单独出具人防结建审批文件具有同等效力。既确保了防空地下室应建尽建，又精简了申报材料、办事环节，为建设单位办事提供了至简至优的服务保障。</w:t>
      </w:r>
    </w:p>
    <w:p w:rsidR="00AA3CA0" w:rsidRDefault="00AA3CA0" w:rsidP="00AA3CA0">
      <w:pPr>
        <w:ind w:firstLineChars="200" w:firstLine="420"/>
      </w:pPr>
      <w:r>
        <w:rPr>
          <w:rFonts w:hint="eastAsia"/>
        </w:rPr>
        <w:t>三是防空地下室施工要求纳入《建筑工程施工许可证》。将人防工程施工图设计文件核准、人防工程质量监督注册登记和建筑工程施工许可证核发合并办理。建设单位在办理建筑工程施工许可证时，同步提交办理人防工程施工图设计文件核准、人防工程质量监督注册登记的申请资料。审批通过后，人防工程施工图核准意见书和人防工程质量监督手续，以二维码的形式加载至项目《建筑工程施工许可证》。通过“一证代多证，一码查信息”方式为建设单位组织项目施工、办理建设手续、配合检查等创造了极大便利。</w:t>
      </w:r>
    </w:p>
    <w:p w:rsidR="00AA3CA0" w:rsidRPr="00DA1647" w:rsidRDefault="00AA3CA0" w:rsidP="00DA1647">
      <w:pPr>
        <w:jc w:val="right"/>
      </w:pPr>
      <w:r w:rsidRPr="00DA1647">
        <w:rPr>
          <w:rFonts w:hint="eastAsia"/>
        </w:rPr>
        <w:t>泰安市人民防空办公室</w:t>
      </w:r>
      <w:r>
        <w:rPr>
          <w:rFonts w:hint="eastAsia"/>
        </w:rPr>
        <w:t xml:space="preserve"> 2021-9-1</w:t>
      </w:r>
    </w:p>
    <w:p w:rsidR="00AA3CA0" w:rsidRDefault="00AA3CA0" w:rsidP="00954396">
      <w:pPr>
        <w:sectPr w:rsidR="00AA3CA0" w:rsidSect="009543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34814" w:rsidRDefault="00134814"/>
    <w:sectPr w:rsidR="001348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3CA0"/>
    <w:rsid w:val="00134814"/>
    <w:rsid w:val="00AA3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3C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3C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>Microsoft</Company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2022-07-10T09:07:00Z</dcterms:created>
</cp:coreProperties>
</file>