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9B" w:rsidRDefault="006D469B" w:rsidP="00644BFE">
      <w:pPr>
        <w:pStyle w:val="1"/>
        <w:spacing w:line="247" w:lineRule="auto"/>
        <w:rPr>
          <w:rFonts w:hint="eastAsia"/>
        </w:rPr>
      </w:pPr>
      <w:r w:rsidRPr="00F77625">
        <w:rPr>
          <w:rFonts w:hint="eastAsia"/>
        </w:rPr>
        <w:t>打好人防行业系统治理攻坚战，看看四川有哪些具体举措</w:t>
      </w:r>
    </w:p>
    <w:p w:rsidR="006D469B" w:rsidRDefault="006D469B" w:rsidP="006D469B">
      <w:pPr>
        <w:spacing w:line="247" w:lineRule="auto"/>
        <w:ind w:firstLineChars="200" w:firstLine="420"/>
      </w:pPr>
      <w:r>
        <w:rPr>
          <w:rFonts w:hint="eastAsia"/>
        </w:rPr>
        <w:t>开展人防行业突出问题系统治理，全面开启系统治理行动，确保打好人防行业突出问题系统治理攻坚战。四川有哪些具体举措呢？</w:t>
      </w:r>
    </w:p>
    <w:p w:rsidR="006D469B" w:rsidRDefault="006D469B" w:rsidP="006D469B">
      <w:pPr>
        <w:spacing w:line="247" w:lineRule="auto"/>
        <w:ind w:firstLineChars="200" w:firstLine="420"/>
        <w:rPr>
          <w:rFonts w:hint="eastAsia"/>
        </w:rPr>
      </w:pPr>
      <w:r>
        <w:rPr>
          <w:rFonts w:hint="eastAsia"/>
        </w:rPr>
        <w:t>为此，记者专门对话了省人防办。</w:t>
      </w:r>
    </w:p>
    <w:p w:rsidR="006D469B" w:rsidRDefault="006D469B" w:rsidP="006D469B">
      <w:pPr>
        <w:spacing w:line="247" w:lineRule="auto"/>
        <w:ind w:firstLineChars="200" w:firstLine="420"/>
      </w:pPr>
      <w:r>
        <w:rPr>
          <w:rFonts w:hint="eastAsia"/>
        </w:rPr>
        <w:t>省人防办：省人防办迅速行动，以高度政治自觉高位推动部署落实</w:t>
      </w:r>
    </w:p>
    <w:p w:rsidR="006D469B" w:rsidRDefault="006D469B" w:rsidP="006D469B">
      <w:pPr>
        <w:spacing w:line="247" w:lineRule="auto"/>
        <w:ind w:firstLineChars="200" w:firstLine="420"/>
      </w:pPr>
      <w:r>
        <w:rPr>
          <w:rFonts w:hint="eastAsia"/>
        </w:rPr>
        <w:t>开展人防行业突出问题系统治理是规范行业发展、提升治理能力和治理水平的重大机遇，省人防办坚决提高政治站位，始终以高度的政治自觉，高位推动部署落实。相继采取了第一时间贯彻上级决策部署、多方研究制定实施方案、全面动员部署系统治理和坚持示范引领打响系统治理“第一枪”等具体举措。在打响“第一枪”上，省人防办党组坚持从省人防办机关和直属单位采购领域廉政风险防控抓起，派驻纪检监察组会同省人防办党组反复研究，制发了《省人防办采购内部控制管理暂行规定》《省人防办采购内控的协调和监督工作机制（试行）》，成立了采购小组及其办公室，建立了群众性采购评审员人才库，明确职能职责。召开采购内控建设推进暨业务培训会，组织学习制发的两个采购内控规定，邀请财政厅政府采购专家授课，以“刀刃向内”的决心，强化在全省人防行业系统治理的示范引领，打响人防系统治理“第一枪”。</w:t>
      </w:r>
    </w:p>
    <w:p w:rsidR="006D469B" w:rsidRDefault="006D469B" w:rsidP="006D469B">
      <w:pPr>
        <w:spacing w:line="247" w:lineRule="auto"/>
        <w:ind w:firstLineChars="200" w:firstLine="420"/>
      </w:pPr>
      <w:r>
        <w:rPr>
          <w:rFonts w:hint="eastAsia"/>
        </w:rPr>
        <w:t>记者：在操作的过程有什么具体的关注点吗？</w:t>
      </w:r>
    </w:p>
    <w:p w:rsidR="006D469B" w:rsidRDefault="006D469B" w:rsidP="006D469B">
      <w:pPr>
        <w:spacing w:line="247" w:lineRule="auto"/>
        <w:ind w:firstLineChars="200" w:firstLine="420"/>
      </w:pPr>
      <w:r>
        <w:rPr>
          <w:rFonts w:hint="eastAsia"/>
        </w:rPr>
        <w:t>省人防办：直指问题，以刮骨疗伤勇气锁定系统治理重点</w:t>
      </w:r>
    </w:p>
    <w:p w:rsidR="006D469B" w:rsidRDefault="006D469B" w:rsidP="006D469B">
      <w:pPr>
        <w:spacing w:line="247" w:lineRule="auto"/>
        <w:ind w:firstLineChars="200" w:firstLine="420"/>
      </w:pPr>
      <w:r>
        <w:rPr>
          <w:rFonts w:hint="eastAsia"/>
        </w:rPr>
        <w:t>省纪委监委通过综合研判，确定将“一个紧盯”和“一个重点紧盯”作为人防行业系统治理的主要内容，为全省人防系统治理指明工作方向，即：紧盯人防工程和人防设施建设管理，整治人防工程（含涉密工程）审批、人防工程和人防设施招标采购、建设、平时开发利用等方面存在的违纪违法问题；重点紧盯应建防空地下室的民用建设项目报建审批，整治防空地下室应建未建和易地建设费核定等方面存在的违纪违法问题，以及易地建设费征收管理使用中违规减免缓、跑冒滴漏、截留挪用等问题。</w:t>
      </w:r>
    </w:p>
    <w:p w:rsidR="006D469B" w:rsidRDefault="006D469B" w:rsidP="006D469B">
      <w:pPr>
        <w:spacing w:line="247" w:lineRule="auto"/>
        <w:ind w:firstLineChars="200" w:firstLine="420"/>
      </w:pPr>
      <w:r>
        <w:rPr>
          <w:rFonts w:hint="eastAsia"/>
        </w:rPr>
        <w:t>省人防办党组与派驻纪检监察组紧紧围绕“一个紧盯、一个重点紧盯”的系统治理“总靶向”，具体细化分解为“一个深化整改、两个深入整治、三个重点整治”，确保有的放矢。</w:t>
      </w:r>
    </w:p>
    <w:p w:rsidR="006D469B" w:rsidRDefault="006D469B" w:rsidP="006D469B">
      <w:pPr>
        <w:spacing w:line="247" w:lineRule="auto"/>
        <w:ind w:firstLineChars="200" w:firstLine="420"/>
      </w:pPr>
      <w:r>
        <w:rPr>
          <w:rFonts w:hint="eastAsia"/>
        </w:rPr>
        <w:t>记者：有没有什么具体的创新举措呢？</w:t>
      </w:r>
    </w:p>
    <w:p w:rsidR="006D469B" w:rsidRDefault="006D469B" w:rsidP="006D469B">
      <w:pPr>
        <w:spacing w:line="247" w:lineRule="auto"/>
        <w:ind w:firstLineChars="200" w:firstLine="420"/>
      </w:pPr>
      <w:r>
        <w:rPr>
          <w:rFonts w:hint="eastAsia"/>
        </w:rPr>
        <w:t>省人防办：创新方法，以务实举措推进系统治理落地见效</w:t>
      </w:r>
    </w:p>
    <w:p w:rsidR="006D469B" w:rsidRDefault="006D469B" w:rsidP="006D469B">
      <w:pPr>
        <w:spacing w:line="247" w:lineRule="auto"/>
        <w:ind w:firstLineChars="200" w:firstLine="420"/>
      </w:pPr>
      <w:r>
        <w:rPr>
          <w:rFonts w:hint="eastAsia"/>
        </w:rPr>
        <w:t>省人防办结合全省人防实际，推出一系列体现人防特点的创新务实治理措施，重点做到“四个坚持”，确保系统治理取得实效。</w:t>
      </w:r>
    </w:p>
    <w:p w:rsidR="006D469B" w:rsidRDefault="006D469B" w:rsidP="006D469B">
      <w:pPr>
        <w:spacing w:line="247" w:lineRule="auto"/>
        <w:ind w:firstLineChars="200" w:firstLine="420"/>
      </w:pPr>
      <w:r>
        <w:rPr>
          <w:rFonts w:hint="eastAsia"/>
        </w:rPr>
        <w:t>一是坚持“接续式”查摆问题。充分运用“三大监督执纪行动”、人防易地建设费征管用专项审计和人防部门接受巡视巡察的成果，对发现问题整改落实情况认真开展“回头看”，对目前还没有完全整改到位的纳入系统治理范围。坚持老问题和新问题一并梳理，遗留问题和现实问题一并查找，保持问题查摆的连续性、一贯性，切实做到“新官要理旧账、新官必理新账”，杜绝无视问题“灯下黑”、遮掩问题“护犊子”的现象。</w:t>
      </w:r>
    </w:p>
    <w:p w:rsidR="006D469B" w:rsidRDefault="006D469B" w:rsidP="006D469B">
      <w:pPr>
        <w:spacing w:line="247" w:lineRule="auto"/>
        <w:ind w:firstLineChars="200" w:firstLine="420"/>
      </w:pPr>
      <w:r>
        <w:rPr>
          <w:rFonts w:hint="eastAsia"/>
        </w:rPr>
        <w:t>二是坚持“清单式”挂图作战。通过对存在突出问题的梳理，省人防办制定系统治理第一层级的问题和责任清单。各市（州）人防办参照第一层级的问题和责任清单，结合本地本单位实际，并汇总县（市、区）人防办的问题摸排情况，制定第二层级的问题和责任清单。对纳入系统治理清单管理的问题，建立全省统一的工作台帐，实行挂图作战、挂牌督战，治理整改落实一件销号一件。</w:t>
      </w:r>
    </w:p>
    <w:p w:rsidR="006D469B" w:rsidRDefault="006D469B" w:rsidP="006D469B">
      <w:pPr>
        <w:spacing w:line="247" w:lineRule="auto"/>
        <w:ind w:firstLineChars="200" w:firstLine="420"/>
      </w:pPr>
      <w:r>
        <w:rPr>
          <w:rFonts w:hint="eastAsia"/>
        </w:rPr>
        <w:t>三是坚持“协同式”推进落实。省市县三级人防部门加强纵向协同，认真履行主体责任，省人防办指导市（州）人防办，市（州）人防办指导县级人防办，自上而下层层抓落实。各级人防部门与派驻纪检监察组加强监督协同，推动责任压实、工作落实，对顶风违纪、边治边犯的从严查处。市县人防部门之间加强横向协同，通过召开现场推进会、建立交叉检查机制等，推动相互学、相互促、相互督。</w:t>
      </w:r>
    </w:p>
    <w:p w:rsidR="006D469B" w:rsidRDefault="006D469B" w:rsidP="006D469B">
      <w:pPr>
        <w:spacing w:line="247" w:lineRule="auto"/>
        <w:ind w:firstLineChars="200" w:firstLine="420"/>
        <w:rPr>
          <w:rFonts w:hint="eastAsia"/>
        </w:rPr>
      </w:pPr>
      <w:r>
        <w:rPr>
          <w:rFonts w:hint="eastAsia"/>
        </w:rPr>
        <w:t>四是坚持“开放式”接受监督。树立“开门治理”理念，既多渠道多方式查找问题，又对查找的问题在一定范围内公开公示。治理过程中，通过门户网站、人防杂志、微博微信等，向群众公示治理项目、公布治理成果，营造人人参与、人人监督的良好氛围。</w:t>
      </w:r>
    </w:p>
    <w:p w:rsidR="006D469B" w:rsidRDefault="006D469B" w:rsidP="006D469B">
      <w:pPr>
        <w:spacing w:line="247" w:lineRule="auto"/>
        <w:ind w:firstLineChars="200" w:firstLine="420"/>
        <w:jc w:val="right"/>
        <w:rPr>
          <w:rFonts w:hint="eastAsia"/>
        </w:rPr>
      </w:pPr>
      <w:r w:rsidRPr="00F77625">
        <w:rPr>
          <w:rFonts w:hint="eastAsia"/>
        </w:rPr>
        <w:t>潇湘晨报</w:t>
      </w:r>
      <w:smartTag w:uri="urn:schemas-microsoft-com:office:smarttags" w:element="chsdate">
        <w:smartTagPr>
          <w:attr w:name="IsROCDate" w:val="False"/>
          <w:attr w:name="IsLunarDate" w:val="False"/>
          <w:attr w:name="Day" w:val="15"/>
          <w:attr w:name="Month" w:val="5"/>
          <w:attr w:name="Year" w:val="2020"/>
        </w:smartTagPr>
        <w:r>
          <w:rPr>
            <w:rFonts w:hint="eastAsia"/>
          </w:rPr>
          <w:t>2020-5-15</w:t>
        </w:r>
      </w:smartTag>
    </w:p>
    <w:p w:rsidR="006D469B" w:rsidRDefault="006D469B" w:rsidP="003B37CC">
      <w:pPr>
        <w:sectPr w:rsidR="006D469B" w:rsidSect="003B37CC">
          <w:type w:val="continuous"/>
          <w:pgSz w:w="11906" w:h="16838" w:code="9"/>
          <w:pgMar w:top="1644" w:right="1236" w:bottom="1418" w:left="1814" w:header="851" w:footer="907" w:gutter="0"/>
          <w:pgNumType w:start="1"/>
          <w:cols w:space="425"/>
          <w:docGrid w:type="lines" w:linePitch="341" w:charSpace="2373"/>
        </w:sectPr>
      </w:pPr>
    </w:p>
    <w:p w:rsidR="00207626" w:rsidRDefault="00207626"/>
    <w:sectPr w:rsidR="002076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69B"/>
    <w:rsid w:val="00207626"/>
    <w:rsid w:val="006D4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D46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469B"/>
    <w:rPr>
      <w:rFonts w:ascii="黑体" w:eastAsia="黑体" w:hAnsi="宋体" w:cs="Times New Roman"/>
      <w:b/>
      <w:kern w:val="36"/>
      <w:sz w:val="32"/>
      <w:szCs w:val="32"/>
    </w:rPr>
  </w:style>
  <w:style w:type="paragraph" w:customStyle="1" w:styleId="Char2CharCharChar">
    <w:name w:val="Char2 Char Char Char"/>
    <w:basedOn w:val="a"/>
    <w:autoRedefine/>
    <w:rsid w:val="006D469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2022-07-10T06:34:00Z</dcterms:created>
</cp:coreProperties>
</file>