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5210" w:rsidRDefault="008E5210" w:rsidP="006B0F6C">
      <w:pPr>
        <w:pStyle w:val="1"/>
        <w:spacing w:line="247" w:lineRule="auto"/>
        <w:rPr>
          <w:rFonts w:hint="eastAsia"/>
        </w:rPr>
      </w:pPr>
      <w:r w:rsidRPr="00646D07">
        <w:rPr>
          <w:rFonts w:hint="eastAsia"/>
        </w:rPr>
        <w:t>城市地下空间商业开发问题与对策</w:t>
      </w:r>
    </w:p>
    <w:p w:rsidR="008E5210" w:rsidRDefault="008E5210" w:rsidP="008E5210">
      <w:pPr>
        <w:spacing w:line="247" w:lineRule="auto"/>
        <w:ind w:firstLineChars="200" w:firstLine="420"/>
      </w:pPr>
      <w:r>
        <w:rPr>
          <w:rFonts w:hint="eastAsia"/>
        </w:rPr>
        <w:t>随着我国经济社会的巨大发展，许多城市已经具备了大规模开发利用城市地下空间的各个要素。一是城市土地资源有限，特别是占用耕地受法律保护和行政审批越来越严，建设用地日趋紧张，而旧城改造整合利用的土地面积不足，不能满足建设开发市场需求，因此，城市地下空间开发利用成为今后发展趋势。二是城市建设投融资能力大大增强，投融资渠道多元化，具备大规模开发城市地下空间的经济实力。三是工程建设技术及装备水平不断提升，为城市地下空间开发建设提供了强有力的科技支撑。四是城市规划建设理念的进步与更新，城市空间拓展不仅仅是向空中延伸，同时，更加注重充分利用地下土地资源，如：城市地铁、地下商业街建设等。但是，在城市地下空间商业开发过程中，又遇到一些现实问题摆在我们面前，亟待研究并加予解决。</w:t>
      </w:r>
    </w:p>
    <w:p w:rsidR="008E5210" w:rsidRDefault="008E5210" w:rsidP="008E5210">
      <w:pPr>
        <w:spacing w:line="247" w:lineRule="auto"/>
        <w:ind w:firstLineChars="200" w:firstLine="420"/>
      </w:pPr>
      <w:r>
        <w:t>l</w:t>
      </w:r>
      <w:r>
        <w:t>、城市地下商业开发建设标准问题。对于地上商业开发建设，我省是按地面建筑总面积</w:t>
      </w:r>
      <w:r>
        <w:t>3%</w:t>
      </w:r>
      <w:r>
        <w:t>～</w:t>
      </w:r>
      <w:r>
        <w:t>5%</w:t>
      </w:r>
      <w:r>
        <w:t>的标准修建防空地下室；</w:t>
      </w:r>
      <w:r>
        <w:t>10</w:t>
      </w:r>
      <w:r>
        <w:t>层以上民用建筑，其防空地下室面积不足地面首层面积的，按照地面首层面积修建防空地下室。那么，对于单建式地下商业开发建设，按地下建筑面积多大比例修建防空地下室？地下二层及以下又按多大比例修建？目前，尚未有一个统一、明确的建设标准。有的地方或少数工程项目按全部地下建筑面积修建的防空地下室，然而绝大多数开发商不愿意投资，主要原因是防空地下室产权不够明晰，使用期限较长和存在一定的经营风险，且建设成本较高；</w:t>
      </w:r>
      <w:r>
        <w:rPr>
          <w:rFonts w:hint="eastAsia"/>
        </w:rPr>
        <w:t>有的地方则是参照人防“结建”丁程，按建筑总面积</w:t>
      </w:r>
      <w:r>
        <w:t>3%</w:t>
      </w:r>
      <w:r>
        <w:t>～</w:t>
      </w:r>
      <w:r>
        <w:t>5%</w:t>
      </w:r>
      <w:r>
        <w:t>的标准修建防空地下室，由人防主管部门向政府申请划拨土地，工程竣工后防空地下室产权无偿移交人防主管部门，其它部分建设单位可以进行出让、转让、租赁、抵押等交易。显而易见，开发形式不同，差异会很大，完全靠双方洽谈。</w:t>
      </w:r>
    </w:p>
    <w:p w:rsidR="008E5210" w:rsidRDefault="008E5210" w:rsidP="008E5210">
      <w:pPr>
        <w:spacing w:line="247" w:lineRule="auto"/>
        <w:ind w:firstLineChars="200" w:firstLine="420"/>
      </w:pPr>
      <w:r>
        <w:t>2</w:t>
      </w:r>
      <w:r>
        <w:t>、人防工程产权问题。地上建筑依法办理有房屋产权登记、土地使用证，并允许出让、转让等。地下建筑防空地下室部分的产权属于国家所有，不能同地上建筑一样可以进行市场交易，但人防</w:t>
      </w:r>
      <w:r>
        <w:t>“</w:t>
      </w:r>
      <w:r>
        <w:t>结建</w:t>
      </w:r>
      <w:r>
        <w:t>”</w:t>
      </w:r>
      <w:r>
        <w:t>工程平时用作地下停车库的泊车位或地下商场的摊位已经被私自买卖，这种没有产权的车位、摊位买卖，实质上是一种租赁行为（一般和土地使用期限相同），买卖合同实质上是租赁合同，根据相关法律规定，租赁合同期限不得超过</w:t>
      </w:r>
      <w:r>
        <w:t>20</w:t>
      </w:r>
      <w:r>
        <w:t>年，超过部分不受法律保护。若小区停车库、地下商场建筑面积计人了公摊面积，建设单位不仅侵占了国家利益，还侵占了全体业主的切身利益</w:t>
      </w:r>
      <w:r>
        <w:rPr>
          <w:rFonts w:hint="eastAsia"/>
        </w:rPr>
        <w:t>，因为，一是没有产权的私自买卖违法，二是若已计人成本则收益应当归业主所得，或收支受业主监督合理使用，如用于地下停车库维护管理。</w:t>
      </w:r>
    </w:p>
    <w:p w:rsidR="008E5210" w:rsidRDefault="008E5210" w:rsidP="008E5210">
      <w:pPr>
        <w:spacing w:line="247" w:lineRule="auto"/>
        <w:ind w:firstLineChars="200" w:firstLine="420"/>
      </w:pPr>
      <w:r>
        <w:t>3</w:t>
      </w:r>
      <w:r>
        <w:t>、人防工程维护管理问题。人防工程实行</w:t>
      </w:r>
      <w:r>
        <w:t>“</w:t>
      </w:r>
      <w:r>
        <w:t>谁建设、谁管理，谁使用、谁管理</w:t>
      </w:r>
      <w:r>
        <w:t>”</w:t>
      </w:r>
      <w:r>
        <w:t>的原则，一些结合民用建筑修建的防空地下室达不到防核防化标准，早期的工程建设项目防空地下室出人口和室内防护隔墙只安装了门框，门扇、通风、给水等设备均未安装实施到位；现在的工程建设项目虽然防护设备都已安装，但基本上未安装防化设备，战时转换由谁负责？且战时转换工作量逐年在递增，转换所需时间愈来愈长，设备生产企业平时无大量产品储备及安装人员和吊装运输设备储备，根本不能保证战时转换时限要求。建设单位或使用单位平时维护管理经费和责任不落实又怎么办？</w:t>
      </w:r>
      <w:r>
        <w:rPr>
          <w:rFonts w:hint="eastAsia"/>
        </w:rPr>
        <w:t>有些建设单位将房产出售后早已离去，物业管理公司经营靠收取小区业主缴纳的物业管理费，其管理范围主要负责小区内卫生、保安、绿化、水电和电梯维修等保障性丁作，人防设施养护维修工作无人承担，小区业主管理委员会绝不会召集全体业主共同出资来维护人防工程设施。</w:t>
      </w:r>
    </w:p>
    <w:p w:rsidR="008E5210" w:rsidRDefault="008E5210" w:rsidP="008E5210">
      <w:pPr>
        <w:spacing w:line="247" w:lineRule="auto"/>
        <w:ind w:firstLineChars="200" w:firstLine="420"/>
      </w:pPr>
      <w:r>
        <w:t>4</w:t>
      </w:r>
      <w:r>
        <w:t>、人防工程监督执法问题。对人防工程建设中的违章行为行政处罚不严。现行的人防法律法规不够细化，具体操作时往往遇到一些棘手问题，对各类建设管理违规行为处罚也较轻，起不到警示惩戒作用。人防主管部门行政执法手段欠缺，如对拖欠易地建设费，建设单位虽然认可但坚持缓交的行为又如何处理？对维护管理不到位、又拒不改正的，建设或使用单位接受处罚了又怎么办？等等。</w:t>
      </w:r>
    </w:p>
    <w:p w:rsidR="008E5210" w:rsidRDefault="008E5210" w:rsidP="008E5210">
      <w:pPr>
        <w:spacing w:line="247" w:lineRule="auto"/>
        <w:ind w:firstLineChars="200" w:firstLine="420"/>
      </w:pPr>
      <w:r>
        <w:rPr>
          <w:rFonts w:hint="eastAsia"/>
        </w:rPr>
        <w:t>针对上述一系列问题，为了准确把握和执行政策，有利于实际工作中操作，笔者认为应从以下几个方面人手：</w:t>
      </w:r>
    </w:p>
    <w:p w:rsidR="008E5210" w:rsidRDefault="008E5210" w:rsidP="008E5210">
      <w:pPr>
        <w:spacing w:line="247" w:lineRule="auto"/>
        <w:ind w:firstLineChars="200" w:firstLine="420"/>
      </w:pPr>
      <w:r>
        <w:t>1</w:t>
      </w:r>
      <w:r>
        <w:t>、完善人防法律法规。明确统一的建设管理标准，制定实施细则，规范行政审批程序。建议单建式地下商业开发建设项目按层数划分，并视层数按一定比例递减修建防空地下室较为适宜。如：负一层按地下建筑面积全部修建防空地下室；负二层和负三层分别按地下建筑总面积</w:t>
      </w:r>
      <w:r>
        <w:t>70%</w:t>
      </w:r>
      <w:r>
        <w:t>和</w:t>
      </w:r>
      <w:r>
        <w:t>30%</w:t>
      </w:r>
      <w:r>
        <w:t>的标准修建防空地下室；综合考虑工程地质、投资成本等因素，负四层及以下暂时按地上建筑</w:t>
      </w:r>
      <w:r>
        <w:t>3—5%</w:t>
      </w:r>
      <w:r>
        <w:t>的修建标准执行，鼓励向地下深处开发，促使地下空间开发利用最大化。递减比例的大小还可以再认真研究确定。同时，人防丁程建设和平时使用应给予免收营业税、房产税、企业所得税</w:t>
      </w:r>
      <w:r>
        <w:rPr>
          <w:rFonts w:hint="eastAsia"/>
        </w:rPr>
        <w:t>等税费的优惠政策。</w:t>
      </w:r>
    </w:p>
    <w:p w:rsidR="008E5210" w:rsidRDefault="008E5210" w:rsidP="008E5210">
      <w:pPr>
        <w:spacing w:line="247" w:lineRule="auto"/>
        <w:ind w:firstLineChars="200" w:firstLine="420"/>
      </w:pPr>
      <w:r>
        <w:t>2</w:t>
      </w:r>
      <w:r>
        <w:t>、做好人防工程平战结合。必须明确各类人防工程均属于国防资产性质，其产权应当为国家所有（同土地所有权性质）。鉴于商业开发建设的防空地下室，其投资建设主体和资金来源不同、管理使用主体和保密程度不同，需要制定战时国家征用办法，平时允许商业开发地下建筑和地上建筑一样市场化运作，地下开发建设可以借鉴地上开发建设的整套规范运行模式，土地挂牌出让、按规定标准修建、依法进行使用权出让转让等交易。</w:t>
      </w:r>
    </w:p>
    <w:p w:rsidR="008E5210" w:rsidRDefault="008E5210" w:rsidP="008E5210">
      <w:pPr>
        <w:spacing w:line="247" w:lineRule="auto"/>
        <w:ind w:firstLineChars="200" w:firstLine="420"/>
      </w:pPr>
      <w:r>
        <w:t>3</w:t>
      </w:r>
      <w:r>
        <w:t>、明确建设、使用单位的责任和义务。严格建设标准，明确允许转换的具体内容，建设单位必须按防核防化标准一次性建设到位。凡平战结合工程应由建设单位负责制定防空地下室战时转换方案，保证在有效转换期限内投入正常使用；建设或使用单位负责制定平时使用防空地下室的养护维修管理方案，落实经费和责任，切实履行保障人防设施完好率的义务。</w:t>
      </w:r>
    </w:p>
    <w:p w:rsidR="008E5210" w:rsidRDefault="008E5210" w:rsidP="008E5210">
      <w:pPr>
        <w:spacing w:line="247" w:lineRule="auto"/>
        <w:ind w:firstLineChars="200" w:firstLine="420"/>
      </w:pPr>
      <w:r>
        <w:t>4</w:t>
      </w:r>
      <w:r>
        <w:t>、进一步加强行政监督管理。人防主管部门应加大行政执法力度，对不履行责任和义务的建设或使用单位依法进行查处，提高建设违章处罚金标准；对不履行防空地下室维护管理责任的，新增可追缴建设或使用单位养护维修费用的法律条款；所追缴的罚金由人防主管部门负责组织进行防空地下室的维护管理。</w:t>
      </w:r>
    </w:p>
    <w:p w:rsidR="008E5210" w:rsidRDefault="008E5210" w:rsidP="008E5210">
      <w:pPr>
        <w:spacing w:line="247" w:lineRule="auto"/>
        <w:ind w:firstLineChars="200" w:firstLine="420"/>
        <w:rPr>
          <w:rFonts w:hint="eastAsia"/>
        </w:rPr>
      </w:pPr>
      <w:r>
        <w:rPr>
          <w:rFonts w:hint="eastAsia"/>
        </w:rPr>
        <w:t>总而言之，在城市地下空间商业开发热潮来临之时，我们应当与时俱进，尽快研究解决开发建设中遇到的矛盾和问题，制定对策，破解难题，正确引导城市地下空间开发建设，避免少走弯路。</w:t>
      </w:r>
    </w:p>
    <w:p w:rsidR="008E5210" w:rsidRDefault="008E5210" w:rsidP="008E5210">
      <w:pPr>
        <w:spacing w:line="247" w:lineRule="auto"/>
        <w:ind w:firstLineChars="200" w:firstLine="420"/>
        <w:jc w:val="right"/>
        <w:rPr>
          <w:rFonts w:hint="eastAsia"/>
        </w:rPr>
      </w:pPr>
      <w:r w:rsidRPr="00646D07">
        <w:rPr>
          <w:rFonts w:hint="eastAsia"/>
        </w:rPr>
        <w:t>襄阳市民防办公室</w:t>
      </w:r>
      <w:smartTag w:uri="urn:schemas-microsoft-com:office:smarttags" w:element="chsdate">
        <w:smartTagPr>
          <w:attr w:name="IsROCDate" w:val="False"/>
          <w:attr w:name="IsLunarDate" w:val="False"/>
          <w:attr w:name="Day" w:val="14"/>
          <w:attr w:name="Month" w:val="7"/>
          <w:attr w:name="Year" w:val="2020"/>
        </w:smartTagPr>
        <w:r>
          <w:rPr>
            <w:rFonts w:hint="eastAsia"/>
          </w:rPr>
          <w:t>2020-7-14</w:t>
        </w:r>
      </w:smartTag>
    </w:p>
    <w:p w:rsidR="008E5210" w:rsidRDefault="008E5210" w:rsidP="002C5C29">
      <w:pPr>
        <w:sectPr w:rsidR="008E5210" w:rsidSect="002C5C29">
          <w:type w:val="continuous"/>
          <w:pgSz w:w="11906" w:h="16838" w:code="9"/>
          <w:pgMar w:top="1644" w:right="1236" w:bottom="1418" w:left="1814" w:header="851" w:footer="907" w:gutter="0"/>
          <w:pgNumType w:start="1"/>
          <w:cols w:space="425"/>
          <w:docGrid w:type="lines" w:linePitch="341" w:charSpace="2373"/>
        </w:sectPr>
      </w:pPr>
    </w:p>
    <w:p w:rsidR="00700B24" w:rsidRDefault="00700B24"/>
    <w:sectPr w:rsidR="00700B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5210"/>
    <w:rsid w:val="00700B24"/>
    <w:rsid w:val="008E52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E52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E5210"/>
    <w:rPr>
      <w:rFonts w:ascii="黑体" w:eastAsia="黑体" w:hAnsi="宋体" w:cs="Times New Roman"/>
      <w:b/>
      <w:kern w:val="36"/>
      <w:sz w:val="32"/>
      <w:szCs w:val="32"/>
    </w:rPr>
  </w:style>
  <w:style w:type="paragraph" w:customStyle="1" w:styleId="Char2CharCharChar">
    <w:name w:val="Char2 Char Char Char"/>
    <w:basedOn w:val="a"/>
    <w:autoRedefine/>
    <w:rsid w:val="008E521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376</Words>
  <Characters>2147</Characters>
  <Application>Microsoft Office Word</Application>
  <DocSecurity>0</DocSecurity>
  <Lines>17</Lines>
  <Paragraphs>5</Paragraphs>
  <ScaleCrop>false</ScaleCrop>
  <Company>Microsoft</Company>
  <LinksUpToDate>false</LinksUpToDate>
  <CharactersWithSpaces>2518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2022-07-08T07:06:00Z</dcterms:created>
</cp:coreProperties>
</file>