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7B" w:rsidRDefault="00E72F7B" w:rsidP="004D2D3A">
      <w:pPr>
        <w:pStyle w:val="1"/>
      </w:pPr>
      <w:r w:rsidRPr="004D2D3A">
        <w:rPr>
          <w:rFonts w:hint="eastAsia"/>
        </w:rPr>
        <w:t>聊城深入开展人防工程类似问题排查整改活动</w:t>
      </w:r>
    </w:p>
    <w:p w:rsidR="00E72F7B" w:rsidRDefault="00E72F7B" w:rsidP="00E72F7B">
      <w:pPr>
        <w:ind w:firstLineChars="200" w:firstLine="420"/>
      </w:pPr>
      <w:r>
        <w:rPr>
          <w:rFonts w:hint="eastAsia"/>
        </w:rPr>
        <w:t>为认真贯彻落实山东省人防办《关于做好曝光问题排查整改工作的通知》要求，聊城市住建局（人防办）高度重视，迅速开展了《问政山东》曝光类似问题大排查大整治集中行动。</w:t>
      </w:r>
    </w:p>
    <w:p w:rsidR="00E72F7B" w:rsidRDefault="00E72F7B" w:rsidP="00E72F7B">
      <w:pPr>
        <w:ind w:firstLineChars="200" w:firstLine="420"/>
      </w:pPr>
      <w:r>
        <w:rPr>
          <w:rFonts w:hint="eastAsia"/>
        </w:rPr>
        <w:t>此次活动紧盯《山东问政》曝光的人防工程管理方面存在的类似问题，要求市及各县（市、区）住建局（人防办）迅速行动，举一反三，抓好曝光类似问题的排查和整改落实，明确了排查内容、整改目标、措施、责任单位、完成时限，做到全覆盖、无死角、底数清，对发现的问题一抓到底、整改到位。</w:t>
      </w:r>
    </w:p>
    <w:p w:rsidR="00E72F7B" w:rsidRDefault="00E72F7B" w:rsidP="00E72F7B">
      <w:pPr>
        <w:ind w:firstLineChars="200" w:firstLine="420"/>
      </w:pPr>
      <w:r>
        <w:rPr>
          <w:rFonts w:hint="eastAsia"/>
        </w:rPr>
        <w:t>自</w:t>
      </w:r>
      <w:r>
        <w:t>4</w:t>
      </w:r>
      <w:r>
        <w:t>月</w:t>
      </w:r>
      <w:r>
        <w:t>21</w:t>
      </w:r>
      <w:r>
        <w:t>日以来，聊城对全市范围内的单建人防工程安全生产隐患、早期人防工程和结建人防工程的维护管理等方面进行了全面检查和问题排查，共下达《责令（限期）整改通知书》</w:t>
      </w:r>
      <w:r>
        <w:t>103</w:t>
      </w:r>
      <w:r>
        <w:t>份，提出整改意见</w:t>
      </w:r>
      <w:r>
        <w:t>544</w:t>
      </w:r>
      <w:r>
        <w:t>条，为全面抓好问题整改提供了精准依据。</w:t>
      </w:r>
    </w:p>
    <w:p w:rsidR="00E72F7B" w:rsidRDefault="00E72F7B" w:rsidP="00E72F7B">
      <w:pPr>
        <w:ind w:firstLineChars="200" w:firstLine="420"/>
      </w:pPr>
      <w:r>
        <w:rPr>
          <w:rFonts w:hint="eastAsia"/>
        </w:rPr>
        <w:t>在抓整改落实的基础上，聊城市住建局（人防办）结合实际，建立了一系列长效管理机制。</w:t>
      </w:r>
    </w:p>
    <w:p w:rsidR="00E72F7B" w:rsidRDefault="00E72F7B" w:rsidP="00E72F7B">
      <w:pPr>
        <w:ind w:firstLineChars="200" w:firstLine="420"/>
      </w:pPr>
      <w:r>
        <w:rPr>
          <w:rFonts w:hint="eastAsia"/>
        </w:rPr>
        <w:t>——完善工程维护管理机制。从加强制度建设，狠抓制度执行，推进工作落实，建立长效机制入手，与工程使用管理单位普遍签订了《人防工程维护管理和安全使用承诺书》，印发了《人防工程维护管理岗位责任制》、《聊城市人防工程日常管理巡查制度》、《人防工程定期检查和维护管理保养制度》、《人防工程消防安全管理制度》、《人防工程维护保养档案管理制度》、《聊城市人防工程维护管理和安全使用制度》、《聊城市防空地下室人防标识标牌设置实施方案》等管理制度。通过建章立制，明确了工程维护管理主体责任制，把“当下改”与“长久立”有机结合，起到了补短板、强弱项的效果。</w:t>
      </w:r>
    </w:p>
    <w:p w:rsidR="00E72F7B" w:rsidRDefault="00E72F7B" w:rsidP="00E72F7B">
      <w:pPr>
        <w:ind w:firstLineChars="200" w:firstLine="420"/>
      </w:pPr>
      <w:r>
        <w:rPr>
          <w:rFonts w:hint="eastAsia"/>
        </w:rPr>
        <w:t>——建立定期调度机制。制定了《人民防工程维护管理检查评定标准》，对工程维护制度、工程主体维护、防护设施维护、工程设备维护落实等，划分“优秀、合格、不合格”三个自查评定等次，实行了管理单位每季度自评报表调度制度，对维护管理落实不到位的及时进行通报，确保了各类问题及时发现、及时整改、落实到位，有力地推动人防工程安全生产和维护管理水平的全面提升。</w:t>
      </w:r>
    </w:p>
    <w:p w:rsidR="00E72F7B" w:rsidRDefault="00E72F7B" w:rsidP="00E72F7B">
      <w:pPr>
        <w:ind w:firstLineChars="200" w:firstLine="420"/>
      </w:pPr>
      <w:r>
        <w:rPr>
          <w:rFonts w:hint="eastAsia"/>
        </w:rPr>
        <w:t>——建立人防工程知识宣传普及机制。结合当前开展的党史教育“我为群众办实事”实践活动，建立人防工程“一体化”监管新机制，规范人民防空工程使用管理，方便人民群众对人民防空工程的直观识别和防护资源的有效使用，进一步普及人防工程相关知识，便于战时人员迅速就近疏散掩蔽和平时加强社会监督管理，结合本次曝光类似问题整改，印发了《关于规范防空地下室人防标识标牌设置方案的通知》，在严格执行人防标识标牌悬挂标准的基础上，着力推行了人防工程功能区墙体内喷涂橙红色人防标示线和“人防工程、严禁破坏”，“人防工程使用权可有偿出租、转让、但其产权不得买卖”和“保护人防工程</w:t>
      </w:r>
      <w:r>
        <w:t xml:space="preserve"> </w:t>
      </w:r>
      <w:r>
        <w:t>人人有责</w:t>
      </w:r>
      <w:r>
        <w:t>”</w:t>
      </w:r>
      <w:r>
        <w:t>等标语口号的新举措。截至目前，全市已有</w:t>
      </w:r>
      <w:r>
        <w:t>27</w:t>
      </w:r>
      <w:r>
        <w:t>个人防工程完成了人防标识线及标语喷涂任务，大大提升了人防社会形象。</w:t>
      </w:r>
    </w:p>
    <w:p w:rsidR="00E72F7B" w:rsidRDefault="00E72F7B" w:rsidP="00E72F7B">
      <w:pPr>
        <w:ind w:firstLineChars="200" w:firstLine="420"/>
      </w:pPr>
      <w:r>
        <w:rPr>
          <w:rFonts w:hint="eastAsia"/>
        </w:rPr>
        <w:t>——强化曝光类似问题的整改落实。市本级及各县（市、区）检查督导组对发现的问题，逐个项目拉出问题清单，有针对性地提出整改要求，并实行了跟踪督促落实，闭环管理。目前，各工程使用管理单位就各自存在的曝光类似问题普遍进入了整改阶段，大多数工程管理单位重新修订了维护管理责任制度，各项规章制度也开始分批逐步制作上墙，人防标识标牌规范更新悬挂已陆续展开，部分卫生脏乱差的项目已得到清理，设备设施维护不到位的问题正在有序整改，对个别一时不能整改的项目，将责成相关单位制定措施，跟踪进行整改，直至整改到位为止。</w:t>
      </w:r>
    </w:p>
    <w:p w:rsidR="00E72F7B" w:rsidRDefault="00E72F7B" w:rsidP="004D2D3A">
      <w:pPr>
        <w:jc w:val="right"/>
      </w:pPr>
      <w:r w:rsidRPr="004D2D3A">
        <w:rPr>
          <w:rFonts w:hint="eastAsia"/>
        </w:rPr>
        <w:t>潇湘晨报</w:t>
      </w:r>
      <w:r>
        <w:rPr>
          <w:rFonts w:hint="eastAsia"/>
        </w:rPr>
        <w:t xml:space="preserve"> 2021-5-7</w:t>
      </w:r>
    </w:p>
    <w:p w:rsidR="00E72F7B" w:rsidRDefault="00E72F7B" w:rsidP="00502699">
      <w:pPr>
        <w:sectPr w:rsidR="00E72F7B" w:rsidSect="00502699">
          <w:type w:val="continuous"/>
          <w:pgSz w:w="11906" w:h="16838"/>
          <w:pgMar w:top="1644" w:right="1236" w:bottom="1418" w:left="1814" w:header="851" w:footer="907" w:gutter="0"/>
          <w:pgNumType w:start="1"/>
          <w:cols w:space="720"/>
          <w:docGrid w:type="lines" w:linePitch="341" w:charSpace="2373"/>
        </w:sectPr>
      </w:pPr>
    </w:p>
    <w:p w:rsidR="00A80571" w:rsidRDefault="00A80571"/>
    <w:sectPr w:rsidR="00A805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F7B"/>
    <w:rsid w:val="00A80571"/>
    <w:rsid w:val="00E72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2F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2F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2022-07-10T08:38:00Z</dcterms:created>
</cp:coreProperties>
</file>