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F1" w:rsidRDefault="00974EF1" w:rsidP="004F5110">
      <w:pPr>
        <w:pStyle w:val="1"/>
      </w:pPr>
      <w:r w:rsidRPr="00D038EB">
        <w:rPr>
          <w:rFonts w:hint="eastAsia"/>
        </w:rPr>
        <w:t>玉溪</w:t>
      </w:r>
      <w:r w:rsidRPr="004F5110">
        <w:rPr>
          <w:rFonts w:hint="eastAsia"/>
        </w:rPr>
        <w:t>市“四注重”推动人民防空事业高质量发展</w:t>
      </w:r>
    </w:p>
    <w:p w:rsidR="00974EF1" w:rsidRDefault="00974EF1" w:rsidP="00974EF1">
      <w:pPr>
        <w:ind w:firstLineChars="200" w:firstLine="420"/>
      </w:pPr>
      <w:r>
        <w:rPr>
          <w:rFonts w:hint="eastAsia"/>
        </w:rPr>
        <w:t>截至目前，市委机动巡察住建（人防）、财政和审计部门监督检查共发现一般性问题</w:t>
      </w:r>
      <w:r>
        <w:t>721</w:t>
      </w:r>
      <w:r>
        <w:t>个，已整改到位</w:t>
      </w:r>
      <w:r>
        <w:t>721</w:t>
      </w:r>
      <w:r>
        <w:t>个，清缴违规减免易地建设费</w:t>
      </w:r>
      <w:r>
        <w:t>14567.95</w:t>
      </w:r>
      <w:r>
        <w:t>万元</w:t>
      </w:r>
      <w:r>
        <w:t>……</w:t>
      </w:r>
      <w:r>
        <w:t>近年来，我市牢固树立</w:t>
      </w:r>
      <w:r>
        <w:t>“</w:t>
      </w:r>
      <w:r>
        <w:t>人民防空为人民</w:t>
      </w:r>
      <w:r>
        <w:t>”</w:t>
      </w:r>
      <w:r>
        <w:t>的理念，采取机动巡察与专项治理相结合的方式，积极构建</w:t>
      </w:r>
      <w:r>
        <w:t>“</w:t>
      </w:r>
      <w:r>
        <w:t>市委点题、巡察破题、专项治理解题</w:t>
      </w:r>
      <w:r>
        <w:t>”</w:t>
      </w:r>
      <w:r>
        <w:t>的联动监督格局，持续推动人防领域沉痼新疾整治，为建成</w:t>
      </w:r>
      <w:r>
        <w:t>“</w:t>
      </w:r>
      <w:r>
        <w:t>体系完备、机制健全、反应迅速、作为突出</w:t>
      </w:r>
      <w:r>
        <w:t>”</w:t>
      </w:r>
      <w:r>
        <w:t>的现代玉溪人防提供坚实政治保障。</w:t>
      </w:r>
    </w:p>
    <w:p w:rsidR="00974EF1" w:rsidRDefault="00974EF1" w:rsidP="00974EF1">
      <w:pPr>
        <w:ind w:firstLineChars="200" w:firstLine="420"/>
      </w:pPr>
      <w:r>
        <w:rPr>
          <w:rFonts w:hint="eastAsia"/>
        </w:rPr>
        <w:t>注重在组织形式上融合</w:t>
      </w:r>
    </w:p>
    <w:p w:rsidR="00974EF1" w:rsidRDefault="00974EF1" w:rsidP="00974EF1">
      <w:pPr>
        <w:ind w:firstLineChars="200" w:firstLine="420"/>
      </w:pPr>
      <w:r>
        <w:rPr>
          <w:rFonts w:hint="eastAsia"/>
        </w:rPr>
        <w:t>根据省委巡视办关于对全省人防系统开展巡视巡察工作的有关要求，市委巡察工作领导小组结合实际制定工作方案，抽调人员组成机动巡察组，采取市级统筹、上下联动、提级与交叉相结合的方式，通过大组统筹、分组实施、统一尺度、同步推进的方式，紧盯人防系统</w:t>
      </w:r>
      <w:r>
        <w:t>9</w:t>
      </w:r>
      <w:r>
        <w:t>项核心权力，聚焦人防工程建设审批权和人防易地建设费收缴两个关键环节，着力发现监管失职、监督不力、违法履职、权力寻租、浪费国家资财等问题，对全市人防系统上下联动开展机动巡察，同时对市住建局开展巡察</w:t>
      </w:r>
      <w:r>
        <w:t>“</w:t>
      </w:r>
      <w:r>
        <w:t>回头看</w:t>
      </w:r>
      <w:r>
        <w:t>”</w:t>
      </w:r>
      <w:r>
        <w:t>。</w:t>
      </w:r>
    </w:p>
    <w:p w:rsidR="00974EF1" w:rsidRDefault="00974EF1" w:rsidP="00974EF1">
      <w:pPr>
        <w:ind w:firstLineChars="200" w:firstLine="420"/>
      </w:pPr>
      <w:r>
        <w:rPr>
          <w:rFonts w:hint="eastAsia"/>
        </w:rPr>
        <w:t>在此基础上，坚持市县联动、内外协同、全面摸排、深挖细查问题线索，将机动巡察作为全市人防系统腐败问题专项治理工作的前哨，由市纪委市监委跟进问题线索大起底大排查，加强与财政、审计、住建、人防等部门协调，督促相关部门及时移交问题线索。深化标本兼治、突出问题导向，整体联动开展审计财务监督检查、查处违纪违法案件、强化督察督办等工作，审计、财政等部门联动开展审计财务监督检查，统筹开展专项治理工作。</w:t>
      </w:r>
    </w:p>
    <w:p w:rsidR="00974EF1" w:rsidRDefault="00974EF1" w:rsidP="00974EF1">
      <w:pPr>
        <w:ind w:firstLineChars="200" w:firstLine="420"/>
      </w:pPr>
      <w:r>
        <w:rPr>
          <w:rFonts w:hint="eastAsia"/>
        </w:rPr>
        <w:t>注重在发现问题上融合</w:t>
      </w:r>
    </w:p>
    <w:p w:rsidR="00974EF1" w:rsidRDefault="00974EF1" w:rsidP="00974EF1">
      <w:pPr>
        <w:ind w:firstLineChars="200" w:firstLine="420"/>
      </w:pPr>
      <w:r>
        <w:rPr>
          <w:rFonts w:hint="eastAsia"/>
        </w:rPr>
        <w:t>在机动巡察过程中，巡察组以问题为导向，紧盯违规审批建设项目、减免易地建设费以及人防资金资产管理不到位等突出问题，通过查阅台账资料、实地核查、个别谈话、受理信访举报等方式，对市级和</w:t>
      </w:r>
      <w:r>
        <w:t>9</w:t>
      </w:r>
      <w:r>
        <w:t>县（市、区）共</w:t>
      </w:r>
      <w:r>
        <w:t>1797</w:t>
      </w:r>
      <w:r>
        <w:t>个项目进行核查，精准发现市人防工程建设项目应收未收、违规减免、应缴未缴易地建设费等问题</w:t>
      </w:r>
      <w:r>
        <w:t>301</w:t>
      </w:r>
      <w:r>
        <w:t>个、问题线索</w:t>
      </w:r>
      <w:r>
        <w:t>34</w:t>
      </w:r>
      <w:r>
        <w:t>件，涉及费用</w:t>
      </w:r>
      <w:r>
        <w:t>1</w:t>
      </w:r>
      <w:r>
        <w:t>亿多元。</w:t>
      </w:r>
    </w:p>
    <w:p w:rsidR="00974EF1" w:rsidRDefault="00974EF1" w:rsidP="00974EF1">
      <w:pPr>
        <w:ind w:firstLineChars="200" w:firstLine="420"/>
      </w:pPr>
      <w:r>
        <w:rPr>
          <w:rFonts w:hint="eastAsia"/>
        </w:rPr>
        <w:t>现场巡察期间，巡察组建立问题线索移送机制，及时向市纪委市监委移交问题线索</w:t>
      </w:r>
      <w:r>
        <w:t>2</w:t>
      </w:r>
      <w:r>
        <w:t>件，对市人防办违反中央八项规定精神，借考察学习之机绕道旅游问题进行通报曝光；督促解决了移动、联通、电信</w:t>
      </w:r>
      <w:r>
        <w:t>3</w:t>
      </w:r>
      <w:r>
        <w:t>家企业在建设玉溪中心城区平战结合地下人防工程债务纠纷问题；追缴了部分防空地下室易地建设费。</w:t>
      </w:r>
    </w:p>
    <w:p w:rsidR="00974EF1" w:rsidRDefault="00974EF1" w:rsidP="00974EF1">
      <w:pPr>
        <w:ind w:firstLineChars="200" w:firstLine="420"/>
      </w:pPr>
      <w:r>
        <w:rPr>
          <w:rFonts w:hint="eastAsia"/>
        </w:rPr>
        <w:t>针对人防系统机动巡察查找出来的问题，与人防系统腐败问题专项治理工作相结合，市纪委市监委加强协调，多管齐下摸排问题，对全市人防系统</w:t>
      </w:r>
      <w:r>
        <w:t>2003</w:t>
      </w:r>
      <w:r>
        <w:t>年以来财政资金使用情况进行重点抽查，对全市</w:t>
      </w:r>
      <w:r>
        <w:t>2172</w:t>
      </w:r>
      <w:r>
        <w:t>个人防工程建设项目开展专项审计，移送问题线索</w:t>
      </w:r>
      <w:r>
        <w:t>19</w:t>
      </w:r>
      <w:r>
        <w:t>件。</w:t>
      </w:r>
    </w:p>
    <w:p w:rsidR="00974EF1" w:rsidRDefault="00974EF1" w:rsidP="00974EF1">
      <w:pPr>
        <w:ind w:firstLineChars="200" w:firstLine="420"/>
      </w:pPr>
      <w:r>
        <w:rPr>
          <w:rFonts w:hint="eastAsia"/>
        </w:rPr>
        <w:t>注重在案件查办上融合</w:t>
      </w:r>
    </w:p>
    <w:p w:rsidR="00974EF1" w:rsidRDefault="00974EF1" w:rsidP="00974EF1">
      <w:pPr>
        <w:ind w:firstLineChars="200" w:firstLine="420"/>
      </w:pPr>
      <w:r>
        <w:rPr>
          <w:rFonts w:hint="eastAsia"/>
        </w:rPr>
        <w:t>市委机动巡察组及时将发现的问题线索</w:t>
      </w:r>
      <w:r>
        <w:t>34</w:t>
      </w:r>
      <w:r>
        <w:t>件移交市纪委市监委，市纪委市监委明确第九审查调查室牵头集中办理涉及市级人防系统腐败问题线索，负责指导全市人防系统腐败案件查处工作，强化动态监督指导，深入分析研判线索处置和案件查办情况，着力在查办案件上扩大战果、实现突破。</w:t>
      </w:r>
    </w:p>
    <w:p w:rsidR="00974EF1" w:rsidRDefault="00974EF1" w:rsidP="00974EF1">
      <w:pPr>
        <w:ind w:firstLineChars="200" w:firstLine="420"/>
      </w:pPr>
      <w:r>
        <w:rPr>
          <w:rFonts w:hint="eastAsia"/>
        </w:rPr>
        <w:t>通海县纪委县监委严肃查处县人防办易地建设费应收未收、执法不严、失职失责等问题，立案审查</w:t>
      </w:r>
      <w:r>
        <w:t>2</w:t>
      </w:r>
      <w:r>
        <w:t>人，给予党纪政务处分</w:t>
      </w:r>
      <w:r>
        <w:t>2</w:t>
      </w:r>
      <w:r>
        <w:t>人，以批评教育等方式处理</w:t>
      </w:r>
      <w:r>
        <w:t>8</w:t>
      </w:r>
      <w:r>
        <w:t>人。新平县纪委县监委对人防领域行政审批及工程建设、资金资产、行业监督管理及易地建设费收缴等方面履行职责不力的县住房和城乡建设局党组及</w:t>
      </w:r>
      <w:r>
        <w:t>2</w:t>
      </w:r>
      <w:r>
        <w:t>名领导干部进行问责。</w:t>
      </w:r>
    </w:p>
    <w:p w:rsidR="00974EF1" w:rsidRDefault="00974EF1" w:rsidP="00974EF1">
      <w:pPr>
        <w:ind w:firstLineChars="200" w:firstLine="420"/>
      </w:pPr>
      <w:r>
        <w:rPr>
          <w:rFonts w:hint="eastAsia"/>
        </w:rPr>
        <w:t>截至今年</w:t>
      </w:r>
      <w:r>
        <w:t>11</w:t>
      </w:r>
      <w:r>
        <w:t>月，全市各级纪检监察机关共处置问题线索</w:t>
      </w:r>
      <w:r>
        <w:t>68</w:t>
      </w:r>
      <w:r>
        <w:t>件，立案</w:t>
      </w:r>
      <w:r>
        <w:t>16</w:t>
      </w:r>
      <w:r>
        <w:t>件</w:t>
      </w:r>
      <w:r>
        <w:t>17</w:t>
      </w:r>
      <w:r>
        <w:t>人，给予党纪政务处分</w:t>
      </w:r>
      <w:r>
        <w:t>15</w:t>
      </w:r>
      <w:r>
        <w:t>人，以提醒谈话、批评教育等其他方式处理</w:t>
      </w:r>
      <w:r>
        <w:t>23</w:t>
      </w:r>
      <w:r>
        <w:t>人，移送检察机关审查起诉</w:t>
      </w:r>
      <w:r>
        <w:t>1</w:t>
      </w:r>
      <w:r>
        <w:t>人。</w:t>
      </w:r>
    </w:p>
    <w:p w:rsidR="00974EF1" w:rsidRDefault="00974EF1" w:rsidP="00974EF1">
      <w:pPr>
        <w:ind w:firstLineChars="200" w:firstLine="420"/>
      </w:pPr>
      <w:r>
        <w:rPr>
          <w:rFonts w:hint="eastAsia"/>
        </w:rPr>
        <w:t>注重在整改质效上融合</w:t>
      </w:r>
    </w:p>
    <w:p w:rsidR="00974EF1" w:rsidRDefault="00974EF1" w:rsidP="00974EF1">
      <w:pPr>
        <w:ind w:firstLineChars="200" w:firstLine="420"/>
      </w:pPr>
      <w:r>
        <w:rPr>
          <w:rFonts w:hint="eastAsia"/>
        </w:rPr>
        <w:t>从巡察反馈开始，我市先后组织召开</w:t>
      </w:r>
      <w:r>
        <w:t>3</w:t>
      </w:r>
      <w:r>
        <w:t>次专项治理问题整改工作推进会，研究解决人防领域重点问题。巡察整改中，巡察机构与市纪委市监委党风政风监督室、被巡察单位联系派驻纪检监察组和监督检查室密切配合，定期向被巡察党组织了解整改进展情况，持续跟踪督办，进一步压实相关行业部门整改主体责任，扎实推进问题整改落地见效。</w:t>
      </w:r>
    </w:p>
    <w:p w:rsidR="00974EF1" w:rsidRDefault="00974EF1" w:rsidP="00974EF1">
      <w:pPr>
        <w:ind w:firstLineChars="200" w:firstLine="420"/>
      </w:pPr>
      <w:r>
        <w:rPr>
          <w:rFonts w:hint="eastAsia"/>
        </w:rPr>
        <w:t>市纪委市监委定期通报专项治理工作进展情况，实行问题整改、线索办理、易地建设费清缴情况日报告制度，通过下发纪检监察建议书、督办函、工作建议、现场督导、通报曝光等方式督促整改，深化标本兼治。同时，针对人防系统在制度笼子和制约机制等方面存在的薄弱环节，围绕应建必建、易地建设、费用征缴、人防工程招标、工程质量监督等环节研究制定有针对性的措施办法，梳理明确</w:t>
      </w:r>
      <w:r>
        <w:t>5</w:t>
      </w:r>
      <w:r>
        <w:t>类、</w:t>
      </w:r>
      <w:r>
        <w:t>18</w:t>
      </w:r>
      <w:r>
        <w:t>项行政职权，对应形成</w:t>
      </w:r>
      <w:r>
        <w:t>121</w:t>
      </w:r>
      <w:r>
        <w:t>项责任事项、</w:t>
      </w:r>
      <w:r>
        <w:t>112</w:t>
      </w:r>
      <w:r>
        <w:t>项追责情形，通过规范管理建立整改常态化、长效化机制。</w:t>
      </w:r>
    </w:p>
    <w:p w:rsidR="00974EF1" w:rsidRDefault="00974EF1" w:rsidP="00974EF1">
      <w:pPr>
        <w:ind w:firstLineChars="200" w:firstLine="420"/>
      </w:pPr>
      <w:r>
        <w:rPr>
          <w:rFonts w:hint="eastAsia"/>
        </w:rPr>
        <w:t>推动“阳光人防”建设，运用信息化手段公开招标、竞价交易；严格落实“一网通办”和“并联审批”制度，协调推动住建（人防）、发改、财政、自然资源和规划等职能部门在建设规划、立项审批、资金监管、工程建设质量监督、竣工备案等重点权力运行环节，建立健全信息共享、监督制约和廉政风险防控机制，构建公开透明的市场环境，从源头上铲除滋生腐败的土壤。</w:t>
      </w:r>
    </w:p>
    <w:p w:rsidR="00974EF1" w:rsidRPr="004F5110" w:rsidRDefault="00974EF1" w:rsidP="004F5110">
      <w:pPr>
        <w:jc w:val="right"/>
      </w:pPr>
      <w:r w:rsidRPr="004F5110">
        <w:rPr>
          <w:rFonts w:hint="eastAsia"/>
        </w:rPr>
        <w:t>潇湘晨报</w:t>
      </w:r>
      <w:r>
        <w:rPr>
          <w:rFonts w:hint="eastAsia"/>
        </w:rPr>
        <w:t xml:space="preserve"> 2020-12-11</w:t>
      </w:r>
    </w:p>
    <w:p w:rsidR="00974EF1" w:rsidRDefault="00974EF1" w:rsidP="00EB7460">
      <w:pPr>
        <w:sectPr w:rsidR="00974EF1" w:rsidSect="00EB7460">
          <w:type w:val="continuous"/>
          <w:pgSz w:w="11906" w:h="16838"/>
          <w:pgMar w:top="1644" w:right="1236" w:bottom="1418" w:left="1814" w:header="851" w:footer="907" w:gutter="0"/>
          <w:pgNumType w:start="1"/>
          <w:cols w:space="720"/>
          <w:docGrid w:type="lines" w:linePitch="341" w:charSpace="2373"/>
        </w:sectPr>
      </w:pPr>
    </w:p>
    <w:p w:rsidR="000849EE" w:rsidRDefault="000849EE"/>
    <w:sectPr w:rsidR="000849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4EF1"/>
    <w:rsid w:val="000849EE"/>
    <w:rsid w:val="00974E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4E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4E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Company>Microsoft</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2022-07-10T09:04:00Z</dcterms:created>
</cp:coreProperties>
</file>