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BA8" w:rsidRDefault="00395BA8" w:rsidP="00684DC7">
      <w:pPr>
        <w:pStyle w:val="1"/>
        <w:spacing w:line="245" w:lineRule="auto"/>
        <w:rPr>
          <w:rFonts w:hint="eastAsia"/>
        </w:rPr>
      </w:pPr>
      <w:r w:rsidRPr="003C59ED">
        <w:rPr>
          <w:rFonts w:hint="eastAsia"/>
        </w:rPr>
        <w:t>凝聚思想大解放共识</w:t>
      </w:r>
      <w:r w:rsidRPr="003C59ED">
        <w:t xml:space="preserve"> 实现人防高质量发展</w:t>
      </w:r>
    </w:p>
    <w:p w:rsidR="00395BA8" w:rsidRDefault="00395BA8" w:rsidP="00395BA8">
      <w:pPr>
        <w:spacing w:line="245" w:lineRule="auto"/>
        <w:ind w:firstLineChars="200" w:firstLine="420"/>
      </w:pPr>
      <w:r>
        <w:rPr>
          <w:rFonts w:hint="eastAsia"/>
        </w:rPr>
        <w:t>全面深化改革，推动高质量发展，是以习近平同志为核心的党中央审时度势作出的战略决策。笔者以为，各级人防部门要提高政治站位，加深对高质量发展的认识，找准发展短板，深挖思想障碍，深入践行新思想、新理念，回答好人防事业高质量发展的时代命题，为建设“强富美高”新江苏作出自己应有的贡献。</w:t>
      </w:r>
    </w:p>
    <w:p w:rsidR="00395BA8" w:rsidRDefault="00395BA8" w:rsidP="00395BA8">
      <w:pPr>
        <w:spacing w:line="245" w:lineRule="auto"/>
        <w:ind w:firstLineChars="200" w:firstLine="420"/>
      </w:pPr>
      <w:r>
        <w:rPr>
          <w:rFonts w:hint="eastAsia"/>
        </w:rPr>
        <w:t>一、对标找差，深入排查难点、堵点等影响民防高质量发展问题</w:t>
      </w:r>
    </w:p>
    <w:p w:rsidR="00395BA8" w:rsidRDefault="00395BA8" w:rsidP="00395BA8">
      <w:pPr>
        <w:spacing w:line="245" w:lineRule="auto"/>
        <w:ind w:firstLineChars="200" w:firstLine="420"/>
      </w:pPr>
      <w:r>
        <w:rPr>
          <w:rFonts w:hint="eastAsia"/>
        </w:rPr>
        <w:t>当前影响人防事业高质量发展的原因表现在以下几方面：</w:t>
      </w:r>
    </w:p>
    <w:p w:rsidR="00395BA8" w:rsidRDefault="00395BA8" w:rsidP="00395BA8">
      <w:pPr>
        <w:spacing w:line="245" w:lineRule="auto"/>
        <w:ind w:firstLineChars="200" w:firstLine="420"/>
      </w:pPr>
      <w:r>
        <w:rPr>
          <w:rFonts w:hint="eastAsia"/>
        </w:rPr>
        <w:t>一是人防管理组织机构不健全。由于国家人防办隶属于军委国防动员部，在国务院行政序列中没有专门机构，导致县级以下人民防空主管部门机构不健全不稳定，人员编制不到位，基层人民防空工作职责难以切实履行到位，各类人防专业队队伍不健全，难以适应未来信息化条件下防空袭斗争需要。</w:t>
      </w:r>
    </w:p>
    <w:p w:rsidR="00395BA8" w:rsidRDefault="00395BA8" w:rsidP="00395BA8">
      <w:pPr>
        <w:spacing w:line="245" w:lineRule="auto"/>
        <w:ind w:firstLineChars="200" w:firstLine="420"/>
      </w:pPr>
      <w:r>
        <w:rPr>
          <w:rFonts w:hint="eastAsia"/>
        </w:rPr>
        <w:t>二是人防工程配置布局不合理。新城区和老城区人防工程建设规模不平衡，布局、结构不合理。因当前新建民用建筑大多在开发区建设，致使人防工程建设过多，而城市中心区因历史原因，相对建设量少，有悖法律规定的人人享有人民防空保护的权利。医疗救护、防空专业队工程建设量不足。</w:t>
      </w:r>
    </w:p>
    <w:p w:rsidR="00395BA8" w:rsidRDefault="00395BA8" w:rsidP="00395BA8">
      <w:pPr>
        <w:spacing w:line="245" w:lineRule="auto"/>
        <w:ind w:firstLineChars="200" w:firstLine="420"/>
      </w:pPr>
      <w:r>
        <w:rPr>
          <w:rFonts w:hint="eastAsia"/>
        </w:rPr>
        <w:t>三是人防工程维护管理不到位。根据去年对我市人防工程的普查数据，我市已竣工使用的人防工程设备设施完好率仅达</w:t>
      </w:r>
      <w:r>
        <w:t>60%</w:t>
      </w:r>
      <w:r>
        <w:t>。平时未建立有效的维护保养机制，大部分防护门、阀门、超压排气活门、防爆地漏等锈蚀严重，现已启闭困难。使用单位不按规定缴纳人防工程使用费，给人防工程的后期维护管理带来困难。</w:t>
      </w:r>
    </w:p>
    <w:p w:rsidR="00395BA8" w:rsidRDefault="00395BA8" w:rsidP="00395BA8">
      <w:pPr>
        <w:spacing w:line="245" w:lineRule="auto"/>
        <w:ind w:firstLineChars="200" w:firstLine="420"/>
      </w:pPr>
      <w:r>
        <w:rPr>
          <w:rFonts w:hint="eastAsia"/>
        </w:rPr>
        <w:t>四是指挥信息保障能力不强。由于人防指挥中心指挥信息系统设备老化，故障率较大，性能落后，导致信息处理能力无法满足当前需要。运用数据实施指挥决策和政务管理不能满足信息化战争和平时抢险救灾的需要。</w:t>
      </w:r>
    </w:p>
    <w:p w:rsidR="00395BA8" w:rsidRDefault="00395BA8" w:rsidP="00395BA8">
      <w:pPr>
        <w:spacing w:line="245" w:lineRule="auto"/>
        <w:ind w:firstLineChars="200" w:firstLine="420"/>
      </w:pPr>
      <w:r>
        <w:rPr>
          <w:rFonts w:hint="eastAsia"/>
        </w:rPr>
        <w:t>五是人防行业监管不落实。当前，我市人防工程质量监管不到位，没有成立人防工程质量监督站；防护设备生产安装企业创新能力不强，严重影响防护设备的生产和安装质量；人防自身职能和住建部门质量联动监管机制缺失，有多个项目未办理人防工程竣工验收备案手续，但已同意房屋备案交付使用。</w:t>
      </w:r>
    </w:p>
    <w:p w:rsidR="00395BA8" w:rsidRDefault="00395BA8" w:rsidP="00395BA8">
      <w:pPr>
        <w:spacing w:line="245" w:lineRule="auto"/>
        <w:ind w:firstLineChars="200" w:firstLine="420"/>
      </w:pPr>
      <w:r>
        <w:rPr>
          <w:rFonts w:hint="eastAsia"/>
        </w:rPr>
        <w:t>六是政策制度不完善。《城市人防工程规划》与《城市总体规划》等发生互相“掐架”现象，缺少相互衔接；《物权法》没有明确人防工程的产权归属，致使人防工程维护管理主体不明确；《江苏省物业管理条例》规定的住宅小区人防工程租赁不能超过</w:t>
      </w:r>
      <w:r>
        <w:t>3</w:t>
      </w:r>
      <w:r>
        <w:t>年同《合同法》规定的可租赁</w:t>
      </w:r>
      <w:r>
        <w:t>20</w:t>
      </w:r>
      <w:r>
        <w:t>年期限不一致，给管理单位和业主带来困惑；行政审批还存在堵点问题，行政许可案卷检查要求和不见面审批要求存在矛盾，服务企业的效率还有待进一步提高。</w:t>
      </w:r>
    </w:p>
    <w:p w:rsidR="00395BA8" w:rsidRDefault="00395BA8" w:rsidP="00395BA8">
      <w:pPr>
        <w:spacing w:line="245" w:lineRule="auto"/>
        <w:ind w:firstLineChars="200" w:firstLine="420"/>
      </w:pPr>
      <w:r>
        <w:rPr>
          <w:rFonts w:hint="eastAsia"/>
        </w:rPr>
        <w:t>二、解放思想，深刻把握民防事业高质量发展的内涵</w:t>
      </w:r>
    </w:p>
    <w:p w:rsidR="00395BA8" w:rsidRDefault="00395BA8" w:rsidP="00395BA8">
      <w:pPr>
        <w:spacing w:line="245" w:lineRule="auto"/>
        <w:ind w:firstLineChars="200" w:firstLine="420"/>
      </w:pPr>
      <w:r>
        <w:rPr>
          <w:rFonts w:hint="eastAsia"/>
        </w:rPr>
        <w:t>按照“把准脉、找症结、开好方”的思路推动民防事业的高质量。以创新发展为动力、以提高人的素质为根本、以民防为民为宗旨，把握民防事业高质量发展的内涵。</w:t>
      </w:r>
    </w:p>
    <w:p w:rsidR="00395BA8" w:rsidRDefault="00395BA8" w:rsidP="00395BA8">
      <w:pPr>
        <w:spacing w:line="245" w:lineRule="auto"/>
        <w:ind w:firstLineChars="200" w:firstLine="420"/>
      </w:pPr>
      <w:r>
        <w:rPr>
          <w:rFonts w:hint="eastAsia"/>
        </w:rPr>
        <w:t>一是强化干部队伍的素质助推高质量发展。民防要发展，人才是关键。当前，要认真组织开展“不忘初心、牢记使命”主题教育，坚持用习近平新时代中国特色社会主义思想武装干部头脑，深刻领会新时代、新思想、新矛盾、新目标提出的新要求；加强与军地院校的合作，每年安排机关在职人员和各类志愿者队伍定期开展专业技术人才培训，形成规范化制度化的人才培养模式；要到先进地区学习考察，安排重点培养对象挂职锻炼，帮助干部弥补知识弱项、能力短板、经验盲区；要建立和落实政绩考评制度，建立日常考核、分类考核、近距离考核的知事识人体系，奖优罚劣，严管和厚爱结合、激励和约束并重。</w:t>
      </w:r>
    </w:p>
    <w:p w:rsidR="00395BA8" w:rsidRDefault="00395BA8" w:rsidP="00395BA8">
      <w:pPr>
        <w:spacing w:line="245" w:lineRule="auto"/>
        <w:ind w:firstLineChars="200" w:firstLine="420"/>
      </w:pPr>
      <w:r>
        <w:rPr>
          <w:rFonts w:hint="eastAsia"/>
        </w:rPr>
        <w:t>二是强化防护产品的质量意识支撑高质量发展。防护产品生产和安装的质量直接关系到人防工程的质量，影响铸就坚不可摧的护民之盾。第一，创新理念，转变思路。在指导思想上，要从“规模”向“品质”、从“陈旧”向“创新”、从“重生产”向“重安装”的转变。第二，打造质量标杆企业，加强品牌建设。弘扬企业家精神和工匠精神，提高决策者、经营者、管理者、生产者质量意识和质量素养，推动企业质量管理水平和核心竞争力提高，打造一批防护设备生产安装知名企业。第三，强化创新意识，提升质量创新能力。积极鼓励研制“推拉平移式防护密闭门”、“热轧异型人防门框专用角钢”、“新型耐用环保防锈漆”、“防洪自动挡水板”等产品，使防护产品使更用便捷、更耐用、更美观。</w:t>
      </w:r>
    </w:p>
    <w:p w:rsidR="00395BA8" w:rsidRDefault="00395BA8" w:rsidP="00395BA8">
      <w:pPr>
        <w:spacing w:line="245" w:lineRule="auto"/>
        <w:ind w:firstLineChars="200" w:firstLine="420"/>
      </w:pPr>
      <w:r>
        <w:rPr>
          <w:rFonts w:hint="eastAsia"/>
        </w:rPr>
        <w:t>三是强化人防为民的服务意识推进高质量发展。要使“不见面审批（服务）”成为人防部门的制度，为打造审批事项最少、力事效率最高、投资环境最优、企业获得感最强的城市提供服务保障。一是简化办事流程。对人防部门的</w:t>
      </w:r>
      <w:r>
        <w:t>5</w:t>
      </w:r>
      <w:r>
        <w:t>大项（</w:t>
      </w:r>
      <w:r>
        <w:t>8</w:t>
      </w:r>
      <w:r>
        <w:t>小项）审批事项进行梳理，形成市级民防政务服务事项清单。根据梳理的清单，与市政务服务管理中心的内网进行关联，同时应用到</w:t>
      </w:r>
      <w:r>
        <w:t>“e</w:t>
      </w:r>
      <w:r>
        <w:t>办事</w:t>
      </w:r>
      <w:r>
        <w:t>”</w:t>
      </w:r>
      <w:r>
        <w:t>平台上，真正打通人防为民、惠民的</w:t>
      </w:r>
      <w:r>
        <w:t>“</w:t>
      </w:r>
      <w:r>
        <w:t>最后一公里</w:t>
      </w:r>
      <w:r>
        <w:t>”</w:t>
      </w:r>
      <w:r>
        <w:t>。二是做好多联合一。人防部门要积极同规划、住建、国土、消防、气象等部门一道，开展联合咨询、联合勘查、联合竣工验收等工作。三是建立容</w:t>
      </w:r>
      <w:r>
        <w:rPr>
          <w:rFonts w:hint="eastAsia"/>
        </w:rPr>
        <w:t>缺机制。对信用良好的企业实行容缺受理，只要规划平面图处在公示阶段，就可以受理审批。节省审查时间和企业的财务成本。监管重心由事前审批，向事中、事后监管转移。</w:t>
      </w:r>
    </w:p>
    <w:p w:rsidR="00395BA8" w:rsidRDefault="00395BA8" w:rsidP="00395BA8">
      <w:pPr>
        <w:spacing w:line="245" w:lineRule="auto"/>
        <w:ind w:firstLineChars="200" w:firstLine="420"/>
      </w:pPr>
      <w:r>
        <w:rPr>
          <w:rFonts w:hint="eastAsia"/>
        </w:rPr>
        <w:t>四是强化民防知识宣传意识促进高质量发展。结合国际民防日、人民防空警报试鸣日、全国防灾减灾日等重大时间节点，开展人民防空宣传教育活动；深化拓展民防工作进社区，设置民防工作站，常态化开展民防知识宣传、防空防灾、自救互救演练等活动，创建基层人防工作“示范社区”；将人民防空教育列入国防教育、普法教育和社会公共安全教育，纳入党政干部培训、初级中学等教学内容；要推进人防知识宣传教育综合体验场馆建设，做到“打造平台、争创一流，拿得出去、经得起看”，为强化国防意识和推动高质量发展营造良好环境。</w:t>
      </w:r>
    </w:p>
    <w:p w:rsidR="00395BA8" w:rsidRDefault="00395BA8" w:rsidP="00395BA8">
      <w:pPr>
        <w:spacing w:line="245" w:lineRule="auto"/>
        <w:ind w:firstLineChars="200" w:firstLine="420"/>
      </w:pPr>
      <w:r>
        <w:rPr>
          <w:rFonts w:hint="eastAsia"/>
        </w:rPr>
        <w:t>三、创新实干，交出人防事业高质量发展的满意答卷</w:t>
      </w:r>
    </w:p>
    <w:p w:rsidR="00395BA8" w:rsidRDefault="00395BA8" w:rsidP="00395BA8">
      <w:pPr>
        <w:spacing w:line="245" w:lineRule="auto"/>
        <w:ind w:firstLineChars="200" w:firstLine="420"/>
      </w:pPr>
      <w:r>
        <w:rPr>
          <w:rFonts w:hint="eastAsia"/>
        </w:rPr>
        <w:t>解放思想落到行动中就是创新实干，推动形成基于提高城市品位等高质量发展的模式。交出人防事业高质量发展的满意答案。</w:t>
      </w:r>
    </w:p>
    <w:p w:rsidR="00395BA8" w:rsidRDefault="00395BA8" w:rsidP="00395BA8">
      <w:pPr>
        <w:spacing w:line="245" w:lineRule="auto"/>
        <w:ind w:firstLineChars="200" w:firstLine="420"/>
      </w:pPr>
      <w:r>
        <w:rPr>
          <w:rFonts w:hint="eastAsia"/>
        </w:rPr>
        <w:t>（一）聚焦民防指挥和管理体制建设创新实干。聚焦人防指挥和管理体制建设是引领民防事业高质量发展的龙头。一是健全组织指挥制度。将人民防空工作纳入党委议军日程，协助党委、政府和同级军事机关建立健全军政联席会议制度、工作汇报制度，确保人防指挥体系实现常态化运行。二是夯实其他政府部门人民防空工作职责。推动民防工作相关部门形成联动机制，形成定期会商、通报、调研等例会制度，实现民防工作合力联动，推动形成“大民防”的格局。三是推动民防管理网络向基层延伸。指派</w:t>
      </w:r>
      <w:r>
        <w:t>1</w:t>
      </w:r>
      <w:r>
        <w:t>名军事领导干部兼任同级人民防空部门副职领导，积极参与领导基层人民</w:t>
      </w:r>
      <w:r>
        <w:rPr>
          <w:rFonts w:hint="eastAsia"/>
        </w:rPr>
        <w:t>防空建设。各镇</w:t>
      </w:r>
      <w:r>
        <w:t>(</w:t>
      </w:r>
      <w:r>
        <w:t>街道</w:t>
      </w:r>
      <w:r>
        <w:t>)</w:t>
      </w:r>
      <w:r>
        <w:t>人民武装部的主要领导作为辖区内人民防空工作的第一责任人。每年要组织一次人民防空工作综合评估，对在人民防空工作中做出显著成绩的组织和个人要给予表彰奖励。</w:t>
      </w:r>
    </w:p>
    <w:p w:rsidR="00395BA8" w:rsidRDefault="00395BA8" w:rsidP="00395BA8">
      <w:pPr>
        <w:spacing w:line="245" w:lineRule="auto"/>
        <w:ind w:firstLineChars="200" w:firstLine="420"/>
      </w:pPr>
      <w:r>
        <w:rPr>
          <w:rFonts w:hint="eastAsia"/>
        </w:rPr>
        <w:t>（二）聚焦民防信息化建设和应急支援能力创新实干。民防信息化建设和应急支援能力是民防建设和“准军事化”建设发展的核心。加强信息网络建设。依托党政专网建设人民防空指挥光缆网，实现省</w:t>
      </w:r>
      <w:r>
        <w:t>-</w:t>
      </w:r>
      <w:r>
        <w:t>市</w:t>
      </w:r>
      <w:r>
        <w:t>-</w:t>
      </w:r>
      <w:r>
        <w:t>辖市三级人防指挥专网的互联，实现全覆盖率。市级在已有基础上扩建超短波中继站，基本做到超短波通信覆盖主城区，全市形成固定与机动、有线与无线相结合的信息传输网络。加强预警报知手段建设。开展基于低空预警的重要经济目标综合防护系统试点建设，研发配置多源情报融合处理系统，升级改造现有警报控制系统，实现警报音响全覆盖。开展人防训练演练。按</w:t>
      </w:r>
      <w:r>
        <w:t>“</w:t>
      </w:r>
      <w:r>
        <w:rPr>
          <w:rFonts w:hint="eastAsia"/>
        </w:rPr>
        <w:t>准军事化”要求，对组织指挥程序训练等多个科目进行实地演练，搭建指挥通信保障模块，实现“动中通”、“远距通”、“复杂环境通”。各类专业队伍、重要经济目标单位要积极开展岗位练兵，组织开展防空袭综合演习和人民防空训练比武竞赛活动。</w:t>
      </w:r>
    </w:p>
    <w:p w:rsidR="00395BA8" w:rsidRDefault="00395BA8" w:rsidP="00395BA8">
      <w:pPr>
        <w:spacing w:line="245" w:lineRule="auto"/>
        <w:ind w:firstLineChars="200" w:firstLine="420"/>
      </w:pPr>
      <w:r>
        <w:rPr>
          <w:rFonts w:hint="eastAsia"/>
        </w:rPr>
        <w:t>（三）聚焦融入生态文化旅游建设和提升城市品位创新实干</w:t>
      </w:r>
    </w:p>
    <w:p w:rsidR="00395BA8" w:rsidRDefault="00395BA8" w:rsidP="00395BA8">
      <w:pPr>
        <w:spacing w:line="245" w:lineRule="auto"/>
        <w:ind w:firstLineChars="200" w:firstLine="420"/>
      </w:pPr>
      <w:r>
        <w:rPr>
          <w:rFonts w:hint="eastAsia"/>
        </w:rPr>
        <w:t>坚持人防建设融合发展，是利在当代功在千秋的公益事业、社会工程。要下力解决好“融什么”、“怎么合”的问题。一是融入生态文化旅游中。镇江是一座具有</w:t>
      </w:r>
      <w:r>
        <w:t>3000</w:t>
      </w:r>
      <w:r>
        <w:t>多年历史的文化名城。我市坑道式早期人防工程约有</w:t>
      </w:r>
      <w:r>
        <w:t>50</w:t>
      </w:r>
      <w:r>
        <w:t>个，面积达</w:t>
      </w:r>
      <w:r>
        <w:t>10</w:t>
      </w:r>
      <w:r>
        <w:t>余万平方米，大多分布于云台山、南山、北固山、焦山等风景名胜区。作为民防部门要抓好早期人防工程的整治和改造，使其融合到文化旅游中。积极和城建集团、文旅集团等投资平台合作，结合建设西津渡古街、扩大焦山景区旅游景点、建设北固山与铁翁城连通通道等项目的契机，将这些防空洞改造成为一个新景点，完善景区功能，增</w:t>
      </w:r>
      <w:r>
        <w:rPr>
          <w:rFonts w:hint="eastAsia"/>
        </w:rPr>
        <w:t>加景区内涵，提升景区引力。二是融入城市现代化建设中。推动多规合一，实现中心城区所有规划内容全部纳入、统筹管理。在修编《城市人防工程规划》中，应重点优化人防工程功能结构与布局，体现人防工程建设从“量”向“质”的转变。在城市中心区、人口密集区、商业繁华区等重要区位，配套建设自成体系的人防工程，并与未来城市地铁、地下交通干线、过街通道、地下停车场及地面大中型服务场所等公共设施连片成网，形成地下和地上相配套、专用与兼用相结合的区域防护系统格局。三是融入社会公共服务中。全面推广人防停车场设施标准化改造建设，改进完善人防设施、标识标注、地坪墙面色彩美化、导视系统、民防知识宣传形式等，编制完成《人防停车场设施技术规范》，将人防元素和人民群众的审美观念结合起来，提高人防工程的品质，使民众便于区别人防工程同普通地下室。</w:t>
      </w:r>
    </w:p>
    <w:p w:rsidR="00395BA8" w:rsidRDefault="00395BA8" w:rsidP="00395BA8">
      <w:pPr>
        <w:spacing w:line="245" w:lineRule="auto"/>
        <w:ind w:firstLineChars="200" w:firstLine="420"/>
      </w:pPr>
      <w:r>
        <w:rPr>
          <w:rFonts w:hint="eastAsia"/>
        </w:rPr>
        <w:t>（四）聚焦提升人防工程行业监管和加强法治建设创新实干</w:t>
      </w:r>
    </w:p>
    <w:p w:rsidR="00395BA8" w:rsidRDefault="00395BA8" w:rsidP="00395BA8">
      <w:pPr>
        <w:spacing w:line="245" w:lineRule="auto"/>
        <w:ind w:firstLineChars="200" w:firstLine="420"/>
        <w:rPr>
          <w:rFonts w:hint="eastAsia"/>
        </w:rPr>
      </w:pPr>
      <w:r>
        <w:rPr>
          <w:rFonts w:hint="eastAsia"/>
        </w:rPr>
        <w:t>加强人防工程行业监管和法治建设可为高质量发展提供有力保障。一是严格人防工程建设质量监督。建立质量监督机构和充实专业人员，配备必要的质量检测等设备。完善各级人民防空工程质量监督体系，强化人民防空防护行业的监管，严格履行监督程序，落实参建各方质量义务、责任。二是探索使用维护管理新机制。探索人防工程委托社区管理的方法，落实社区维护管理工作内容和经费，逐步形成以社区为依托，上下联动，齐抓共管的人防工程维护管理网络。探索人防设备设施市场化维护管理机制，逐步将人防工程管养任务交给有资质的社会化专业管养机构负责，每</w:t>
      </w:r>
      <w:r>
        <w:t>3</w:t>
      </w:r>
      <w:r>
        <w:t>年对</w:t>
      </w:r>
      <w:r>
        <w:rPr>
          <w:rFonts w:hint="eastAsia"/>
        </w:rPr>
        <w:t>工程主体结构、防护设备设施进行一次周期性维护管理，确保人防设施战时防护功能。三是加强制度建设。修订《镇江市人民防空实施细则》，将上级最新要求纳入细则。如，增加各部门责任分工、结建比例、征收管理、维护管理、优惠政策等内容。联合住建部门出台《镇江市人民防空工程质量监督及竣工验收备案管理办法》，督促建设单位组织人防工程竣工验收。出台《防护设备、工程设计、工程监理、质量检测、施工图审查企业监督管理和信用评价办法》，通过对人防工程建设从业单位考核考评、信誉评定和“黑名单”制度，实行优胜劣汰，提高人民防空从业单位的诚信度。</w:t>
      </w:r>
    </w:p>
    <w:p w:rsidR="00395BA8" w:rsidRDefault="00395BA8" w:rsidP="00395BA8">
      <w:pPr>
        <w:spacing w:line="245" w:lineRule="auto"/>
        <w:ind w:firstLineChars="200" w:firstLine="420"/>
        <w:jc w:val="right"/>
        <w:rPr>
          <w:rFonts w:hint="eastAsia"/>
        </w:rPr>
      </w:pPr>
      <w:r w:rsidRPr="003C59ED">
        <w:rPr>
          <w:rFonts w:hint="eastAsia"/>
        </w:rPr>
        <w:t>镇江市民防局</w:t>
      </w:r>
      <w:smartTag w:uri="urn:schemas-microsoft-com:office:smarttags" w:element="chsdate">
        <w:smartTagPr>
          <w:attr w:name="Year" w:val="2019"/>
          <w:attr w:name="Month" w:val="8"/>
          <w:attr w:name="Day" w:val="1"/>
          <w:attr w:name="IsLunarDate" w:val="False"/>
          <w:attr w:name="IsROCDate" w:val="False"/>
        </w:smartTagPr>
        <w:r>
          <w:t>2019-8-</w:t>
        </w:r>
        <w:r>
          <w:rPr>
            <w:rFonts w:hint="eastAsia"/>
          </w:rPr>
          <w:t>1</w:t>
        </w:r>
      </w:smartTag>
    </w:p>
    <w:p w:rsidR="00395BA8" w:rsidRDefault="00395BA8" w:rsidP="00037841">
      <w:pPr>
        <w:sectPr w:rsidR="00395BA8" w:rsidSect="00037841">
          <w:type w:val="continuous"/>
          <w:pgSz w:w="11906" w:h="16838" w:code="9"/>
          <w:pgMar w:top="1644" w:right="1236" w:bottom="1418" w:left="1814" w:header="851" w:footer="907" w:gutter="0"/>
          <w:pgNumType w:start="1"/>
          <w:cols w:space="425"/>
          <w:docGrid w:type="lines" w:linePitch="341" w:charSpace="2373"/>
        </w:sectPr>
      </w:pPr>
    </w:p>
    <w:p w:rsidR="00FE5A2B" w:rsidRDefault="00FE5A2B"/>
    <w:sectPr w:rsidR="00FE5A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5BA8"/>
    <w:rsid w:val="00395BA8"/>
    <w:rsid w:val="00FE5A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95BA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5BA8"/>
    <w:rPr>
      <w:rFonts w:ascii="黑体" w:eastAsia="黑体" w:hAnsi="宋体" w:cs="Times New Roman"/>
      <w:b/>
      <w:kern w:val="36"/>
      <w:sz w:val="32"/>
      <w:szCs w:val="32"/>
    </w:rPr>
  </w:style>
  <w:style w:type="paragraph" w:customStyle="1" w:styleId="Char2CharCharChar">
    <w:name w:val="Char2 Char Char Char"/>
    <w:basedOn w:val="a"/>
    <w:autoRedefine/>
    <w:rsid w:val="00395BA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3654</Characters>
  <Application>Microsoft Office Word</Application>
  <DocSecurity>0</DocSecurity>
  <Lines>30</Lines>
  <Paragraphs>8</Paragraphs>
  <ScaleCrop>false</ScaleCrop>
  <Company>Microsoft</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2022-07-08T05:39:00Z</dcterms:created>
</cp:coreProperties>
</file>