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6C82" w:rsidRDefault="00736C82" w:rsidP="00352541">
      <w:pPr>
        <w:pStyle w:val="1"/>
        <w:rPr>
          <w:rFonts w:hint="eastAsia"/>
        </w:rPr>
      </w:pPr>
      <w:r w:rsidRPr="00352541">
        <w:rPr>
          <w:rFonts w:hint="eastAsia"/>
        </w:rPr>
        <w:t>权责统一</w:t>
      </w:r>
      <w:r w:rsidRPr="00352541">
        <w:t xml:space="preserve"> 黄浦区切实把好民防工程事中事后监管关</w:t>
      </w:r>
    </w:p>
    <w:p w:rsidR="00736C82" w:rsidRDefault="00736C82" w:rsidP="00736C82">
      <w:pPr>
        <w:ind w:firstLineChars="200" w:firstLine="420"/>
      </w:pPr>
      <w:r>
        <w:rPr>
          <w:rFonts w:hint="eastAsia"/>
        </w:rPr>
        <w:t>为确保民防工程管理落实到位，区民防办在推进“双随机”事中事后监管过程中，把握核心环节，突出检查重点，确保工作有实效。通过一年的运行和完善，目前已逐步形成工作机制。主要做法：一是制定方案，规定每月初制定“双随机”检查方案，确定随机抽查事项、抽查主体、抽查内容和抽查方式，按</w:t>
      </w:r>
      <w:r>
        <w:t>20</w:t>
      </w:r>
      <w:r>
        <w:t>％的比例对在用民防工程进行抽查；二是抽查配对，通过区综合监管系统在已确定的抽查主体名录中进行一次不可逆的随机抽取，生成最终的抽查对象名单，与一线检查人员名录库中的执法人员进行随机匹配，完成人员的随机选派；三是落实检查，按照系统内抽查配对结</w:t>
      </w:r>
      <w:r>
        <w:rPr>
          <w:rFonts w:hint="eastAsia"/>
        </w:rPr>
        <w:t>果，派单给管理员，实施工程战备设施维护情况和日常使用安全情况的实地检查；四是结果反馈，在规定时限内将抽查情况及时录入综合监管系统，系统管理员根据抽查中反映的问题，及时反馈给科室负责人，按照日常网格化管理流程安排人员进行处置，及时整改，消除隐患。</w:t>
      </w:r>
    </w:p>
    <w:p w:rsidR="00736C82" w:rsidRDefault="00736C82" w:rsidP="00736C82">
      <w:pPr>
        <w:ind w:firstLineChars="200" w:firstLine="420"/>
        <w:rPr>
          <w:rFonts w:hint="eastAsia"/>
        </w:rPr>
      </w:pPr>
      <w:r>
        <w:t>依托黄浦区事中事后综合监管系统，对我区民防工程管理情况实行</w:t>
      </w:r>
      <w:r>
        <w:t>“</w:t>
      </w:r>
      <w:r>
        <w:t>阳光监管</w:t>
      </w:r>
      <w:r>
        <w:t>”</w:t>
      </w:r>
      <w:r>
        <w:t>，严格按照法定权限和程序行使职权。通过</w:t>
      </w:r>
      <w:r>
        <w:t>10</w:t>
      </w:r>
      <w:r>
        <w:t>个月的试运行，我办坚持每月开展</w:t>
      </w:r>
      <w:r>
        <w:t>“</w:t>
      </w:r>
      <w:r>
        <w:t>双随机</w:t>
      </w:r>
      <w:r>
        <w:t>”</w:t>
      </w:r>
      <w:r>
        <w:t>抽查，共出动</w:t>
      </w:r>
      <w:r>
        <w:t>78</w:t>
      </w:r>
      <w:r>
        <w:t>人次，抽查民防工程</w:t>
      </w:r>
      <w:r>
        <w:t>39</w:t>
      </w:r>
      <w:r>
        <w:t>个，未发现管理违规事件。通过日常</w:t>
      </w:r>
      <w:r>
        <w:t>“</w:t>
      </w:r>
      <w:r>
        <w:t>网格化</w:t>
      </w:r>
      <w:r>
        <w:t>”</w:t>
      </w:r>
      <w:r>
        <w:t>检查和</w:t>
      </w:r>
      <w:r>
        <w:t>“</w:t>
      </w:r>
      <w:r>
        <w:t>双随机</w:t>
      </w:r>
      <w:r>
        <w:t>”</w:t>
      </w:r>
      <w:r>
        <w:t>抽查双重检查机制，人员密集型与经营性的地下空间管理力度得到了加强，区域民防工程管理水平和管理效能得到了提高。下一阶段我们将继续完善工作平台数据，同时拓展监管层面，确保</w:t>
      </w:r>
      <w:r>
        <w:t>“</w:t>
      </w:r>
      <w:r>
        <w:t>双随机一公开</w:t>
      </w:r>
      <w:r>
        <w:t>”</w:t>
      </w:r>
      <w:r>
        <w:t>工作的工作效能在地下空间依法行政中最大化。</w:t>
      </w:r>
    </w:p>
    <w:p w:rsidR="00736C82" w:rsidRDefault="00736C82" w:rsidP="00352541">
      <w:pPr>
        <w:jc w:val="right"/>
        <w:rPr>
          <w:rFonts w:hint="eastAsia"/>
        </w:rPr>
      </w:pPr>
      <w:r w:rsidRPr="00352541">
        <w:rPr>
          <w:rFonts w:hint="eastAsia"/>
        </w:rPr>
        <w:t>上海市人民政府</w:t>
      </w:r>
      <w:smartTag w:uri="urn:schemas-microsoft-com:office:smarttags" w:element="chsdate">
        <w:smartTagPr>
          <w:attr w:name="IsROCDate" w:val="False"/>
          <w:attr w:name="IsLunarDate" w:val="False"/>
          <w:attr w:name="Day" w:val="6"/>
          <w:attr w:name="Month" w:val="8"/>
          <w:attr w:name="Year" w:val="2018"/>
        </w:smartTagPr>
        <w:r>
          <w:rPr>
            <w:rFonts w:hint="eastAsia"/>
          </w:rPr>
          <w:t>2018-8-6</w:t>
        </w:r>
      </w:smartTag>
    </w:p>
    <w:p w:rsidR="00736C82" w:rsidRDefault="00736C82" w:rsidP="00BD6A8F">
      <w:pPr>
        <w:sectPr w:rsidR="00736C82" w:rsidSect="00BD6A8F">
          <w:type w:val="continuous"/>
          <w:pgSz w:w="11906" w:h="16838" w:code="9"/>
          <w:pgMar w:top="1644" w:right="1236" w:bottom="1418" w:left="1814" w:header="851" w:footer="907" w:gutter="0"/>
          <w:pgNumType w:start="1"/>
          <w:cols w:space="425"/>
          <w:docGrid w:type="lines" w:linePitch="341" w:charSpace="2373"/>
        </w:sectPr>
      </w:pPr>
    </w:p>
    <w:p w:rsidR="00360FF2" w:rsidRDefault="00360FF2"/>
    <w:sectPr w:rsidR="00360F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6C82"/>
    <w:rsid w:val="00360FF2"/>
    <w:rsid w:val="00736C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6C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6C82"/>
    <w:rPr>
      <w:rFonts w:ascii="黑体" w:eastAsia="黑体" w:hAnsi="宋体" w:cs="Times New Roman"/>
      <w:b/>
      <w:kern w:val="36"/>
      <w:sz w:val="32"/>
      <w:szCs w:val="32"/>
    </w:rPr>
  </w:style>
  <w:style w:type="paragraph" w:customStyle="1" w:styleId="Char2CharCharChar">
    <w:name w:val="Char2 Char Char Char"/>
    <w:basedOn w:val="a"/>
    <w:autoRedefine/>
    <w:rsid w:val="00736C8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560</Characters>
  <Application>Microsoft Office Word</Application>
  <DocSecurity>0</DocSecurity>
  <Lines>4</Lines>
  <Paragraphs>1</Paragraphs>
  <ScaleCrop>false</ScaleCrop>
  <Company>Microsoft</Company>
  <LinksUpToDate>false</LinksUpToDate>
  <CharactersWithSpaces>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2022-07-07T08:13:00Z</dcterms:created>
</cp:coreProperties>
</file>