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AC4" w:rsidRDefault="00910AC4" w:rsidP="005A7C83">
      <w:pPr>
        <w:pStyle w:val="1"/>
        <w:spacing w:line="242" w:lineRule="auto"/>
      </w:pPr>
      <w:r w:rsidRPr="00E83975">
        <w:rPr>
          <w:rFonts w:hint="eastAsia"/>
        </w:rPr>
        <w:t>探索生态旅游新模式，这些景区做法值得参考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t>5</w:t>
      </w:r>
      <w:r>
        <w:t>月</w:t>
      </w:r>
      <w:r>
        <w:t>26</w:t>
      </w:r>
      <w:r>
        <w:t>日，碳达峰碳中和工作领导小组第一次全体会议在京召开，会议再次强调，要全面贯彻落实习近平生态文明思想，立足新发展阶段、贯彻新发展理念、构建新发展格局，扎实推进生态文明建设，确保如期实现碳达峰、碳中和目标。此前，中办、国办于</w:t>
      </w:r>
      <w:r>
        <w:t>4</w:t>
      </w:r>
      <w:r>
        <w:t>月底印发《关于建立健全生态产品价值实现机制的意见》（以下简称《意见》），明确提出，依托优美自然风光、历史文化遗存，引进专业设计、运营团队，在最大限度减少人为扰动前提下，打造旅游与康养休闲融合发展的生态旅游开发模式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在国家大力推动碳达峰、碳中和，探索创新生态产品价值实现机制背景下，生态旅游迎来新的契机。生态美景变身优美景区、沙漠治理与旅游观光结合、废弃矿山上建起文旅小镇……在生态旅游大量成功实践经验基础上，业界对探索生态旅游新模式充满信心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保障生态安全</w:t>
      </w:r>
      <w:r>
        <w:t xml:space="preserve"> </w:t>
      </w:r>
      <w:r>
        <w:t>探索经营挂钩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近年来，我国在推动生态保护的同时，也注重生态资源的合理利用，很多生态修复项目与旅游业态适度结合，收获积极成效。《意见》明确提出，鼓励将生态环境保护修复与生态产品经营开发权益挂钩，对开展荒山荒地、黑臭水体、石漠化等综合整治的社会主体，在保障生态效益和依法依规前提下，允许利用一定比例的土地发展生态农业、生态旅游获取收益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红碱淖处于黄土高原与内蒙古高原过渡地带、毛乌素沙漠与鄂尔多斯盆地交会处。几年前，红碱淖因为主要补水河流上游修建水库，地表汇水量急剧下降，如果不采取措施，可能成为第二个罗布泊。“榆林市、神木市水利局曾多次会同内蒙古鄂尔多斯市相关部门开展生态修复。”榆林神木红碱淖景区相关负责人介绍，经过治理，红碱淖水位逐渐上涨，湿地保护颇具成效，现今的红碱淖不仅是濒危珍禽遗鸥的最大繁殖栖息地，也是很多游客喜爱的生态旅游景区。红碱淖的旅游发展带动了神木旅游的发展。神木依托红碱淖积极发展珍稀保护动物观赏、沙漠水镇项目等，树立中国最大沙漠淡水湖旅游品牌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在神木工作的王彩云经常会接待到红碱淖旅游的外地朋友，她说，站在高处看，红碱淖就像毛乌素沙漠里的一颗明珠，湖面像明镜一般，鸟类栖息，快艇穿湖而过，人与自然和谐共生，有着别样的美。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中科院旅游与社会文化地理研究室主任钟林生认为，我国生态旅游发展迎来新机遇，政策方面，自然资源保护性政策更为灵活，为生态旅游用地限制破局等提供契机；业态方面，湿地观光、水利旅游、森林旅游、地质旅游及康养旅游等发展条件更加充足；发展模式方面，在生态补偿与生态付费大趋势下，政府主导、市场运作有效实现生态资源合理配置、生态产品价值转化与增值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盘活存量资源</w:t>
      </w:r>
      <w:r>
        <w:t xml:space="preserve"> </w:t>
      </w:r>
      <w:r>
        <w:t>释放旅游价值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生态保护与利用是相伴而行的，随着我国生态文明建设不断深化，生态相关的存量资源的盘活利用日益受到重视。《意见》明确，加快培育生态产品市场经营开发主体，鼓励盘活废弃矿山、工业遗址、古旧村落等存量资源，推进相关资源权益集中流转经营，通过统筹实施生态环境系统整治和配套设施建设，提升教育文化旅游开发价值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河北省石家庄市井陉矿区全面停产后，优美的自然环境、丰厚的工业遗产成为当地发展生态旅游的宝贵财富。近年来，井陉矿区加紧推进段家楼正丰矿文旅综合体项目，重点实施了环境整治、文物修缮、业态植入工程，如把废弃职工食堂改造成书吧、利用废弃火车车厢打造咖啡馆、利用废弃煤矸石场地打造汽车文化主题公园等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山东省菏泽市巨野县核桃园镇曾是菏泽最大的山石开采基地，</w:t>
      </w:r>
      <w:r>
        <w:t>2015</w:t>
      </w:r>
      <w:r>
        <w:t>年当地封山转型，在废弃矿坑上种植数万棵苗木，同时结合当地古村落资源，全力打造金山景区、青龙山旅游度假区、白虎山天池风景区、前王庄石头寨民俗文化区等，把废弃矿山变成了</w:t>
      </w:r>
      <w:r>
        <w:t>“</w:t>
      </w:r>
      <w:r>
        <w:t>绿水青山</w:t>
      </w:r>
      <w:r>
        <w:t>”</w:t>
      </w:r>
      <w:r>
        <w:t>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北京师范大学地理科学学部教授吴殿廷说，废弃矿山、工业遗存和古旧村落蕴藏着巨大的科技、文化价值，但往往由于产权不清、政策不明，社会资本不敢贸然进入。《意见》鼓励盘活存量资源，这是非常好的机遇。建议各地引导开发工业研学游、历史文化休闲游；抓住政策机遇，解决建设用地指标问题等；吸引从古旧村落“走出去”的仁人志士参与家乡建设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牵手康养休闲</w:t>
      </w:r>
      <w:r>
        <w:t xml:space="preserve"> </w:t>
      </w:r>
      <w:r>
        <w:t>融合前景广阔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生态与旅游有着天然的联系，生态为旅游提供基础和条件，旅游为生态带来价值实现渠道。《意见》明确提出“打造旅游与康养休闲融合发展的生态旅游开发模式”。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在广西壮族自治区崇左市大新县明仕田园景区，壮家阿哥阿姐用悠扬的山歌欢迎游客，青山环绕、绿水轻柔，游客陶醉于山水之美。大新明仕旅游发展有限公司总经理助理鲁显峰介绍，明仕田园景区无论是规划设计、建设还是经营阶段都注重保持自然生态和谐，如，明仕河漂流项目采用竹排；两岸的景观基本保持原状；景区内建筑物都是壮族民居风格；景区内甚至保留了大面积稻田，与周边村屯融为一体。今年五一假期，明仕田园景区累计接待游客</w:t>
      </w:r>
      <w:r>
        <w:t>3.53</w:t>
      </w:r>
      <w:r>
        <w:t>万人次，较</w:t>
      </w:r>
      <w:r>
        <w:t>2019</w:t>
      </w:r>
      <w:r>
        <w:t>年同期增长</w:t>
      </w:r>
      <w:r>
        <w:t>30%</w:t>
      </w:r>
      <w:r>
        <w:t>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浙江省台州学院党委书记崔凤军表示，近几年，中国的康养旅游快速发展，成绩虽大，也暴露出了许多短板，最主要的是资源利用与生态保护之间的矛盾，特别是空间利用问题。《意见》为行业发展带来新机遇，可以预期，国家将为社会资本进入康养生态旅游业提供新的条件，拓展生态产品价值实现的新模式。</w:t>
      </w:r>
    </w:p>
    <w:p w:rsidR="00910AC4" w:rsidRDefault="00910AC4" w:rsidP="00910AC4">
      <w:pPr>
        <w:spacing w:line="242" w:lineRule="auto"/>
        <w:ind w:firstLineChars="200" w:firstLine="420"/>
        <w:jc w:val="left"/>
      </w:pPr>
      <w:r>
        <w:rPr>
          <w:rFonts w:hint="eastAsia"/>
        </w:rPr>
        <w:t>值得关注的是，《意见》还明确，在具备条件的地区探索古屋贷等金融产品创新，用于周边生态环境系统整治、古屋拯救改造及乡村休闲旅游开发等。对此，南开大学教授马晓龙认为，绿色金融可有效缓解长期以来乡村遗产保护、乡村旅游发展、乡村基础设施建设缺少足够资金来源的问题。建议加大金融产品对以“乡村聚落整体旅游开发”为导向的项目支持力度，建立金融产品创新与乡村社区发展协调的组织领导体系。</w:t>
      </w:r>
    </w:p>
    <w:p w:rsidR="00910AC4" w:rsidRDefault="00910AC4" w:rsidP="00910AC4">
      <w:pPr>
        <w:spacing w:line="242" w:lineRule="auto"/>
        <w:ind w:firstLineChars="200"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2021-6-1</w:t>
      </w:r>
    </w:p>
    <w:p w:rsidR="00910AC4" w:rsidRDefault="00910AC4" w:rsidP="0020393F">
      <w:pPr>
        <w:sectPr w:rsidR="00910AC4" w:rsidSect="0020393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35BC" w:rsidRDefault="00CD35BC"/>
    <w:sectPr w:rsidR="00CD35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0AC4"/>
    <w:rsid w:val="00910AC4"/>
    <w:rsid w:val="00CD35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0A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10A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1956</Characters>
  <Application>Microsoft Office Word</Application>
  <DocSecurity>0</DocSecurity>
  <Lines>16</Lines>
  <Paragraphs>4</Paragraphs>
  <ScaleCrop>false</ScaleCrop>
  <Company/>
  <LinksUpToDate>false</LinksUpToDate>
  <CharactersWithSpaces>2295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2022-06-27T06:16:00Z</dcterms:created>
</cp:coreProperties>
</file>