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41" w:rsidRDefault="00084841" w:rsidP="00AF6212">
      <w:pPr>
        <w:pStyle w:val="1"/>
        <w:rPr>
          <w:rFonts w:hint="eastAsia"/>
        </w:rPr>
      </w:pPr>
      <w:r w:rsidRPr="009C40E5">
        <w:rPr>
          <w:rFonts w:hint="eastAsia"/>
        </w:rPr>
        <w:t>教育部办公厅关于开展义务教育阶段学科类校外培训治理“回头看”工作的通知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各省、自治区、直辖市教育厅（教委），新疆生产建设兵团教育局：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“双减”工作部署开展以来，在党中央、国务院坚强领导和各方共同努力下，义务教育阶段学科类校外培训治理取得阶段性成效，但学科类培训防反弹、防变异、防风险的任务依然艰巨。为巩固义务教育阶段学科类校外培训治理成果，经研究，决定于</w:t>
      </w:r>
      <w:r>
        <w:t>2022</w:t>
      </w:r>
      <w:r>
        <w:t>年</w:t>
      </w:r>
      <w:r>
        <w:t>6</w:t>
      </w:r>
      <w:r>
        <w:t>月底前开展一次</w:t>
      </w:r>
      <w:r>
        <w:t>“</w:t>
      </w:r>
      <w:r>
        <w:t>回头看</w:t>
      </w:r>
      <w:r>
        <w:t>”</w:t>
      </w:r>
      <w:r>
        <w:t>工作。现就有关事项通知如下。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一、主要任务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全面对照中央“双减”文件及校外培训治理各项政策要求，对面向义务教育阶段学生已经压减和转为非营利性的所有线上、线下学科类校外培训机构进行一次全面排查，从机构运营、收费管理、培训内容、从业人员资质等各方面，系统查找问题并坚决进行整改，切实巩固义务教育阶段学科类培训治理成果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二、重点内容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（一）看培训机构压减。是否存在“假注销、真运营”现象，重点核查已经注销的培训机构仍在利用原师资、生源等继续开展学科培训等情况。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（二）看“营转非”“备改审”。是否存在“名有非营利外壳，实为营利性行为”现象，重点核查抽逃开办资金、私设账外资金、违规关联交易、虚增业务成本等情况。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（三）看培训收费监管。是否存在培训机构预收费资金未纳入监管情况，重点核查违规收费、使用不规范合同、未规范执行政府指导价管理要求等情况。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（四）看隐形变异治理。是否存在各种违规开展学科培训现象、打“擦边球”，重点核查无证无照机构违规培训、个人以“家政服务”“家庭教育指导”“众筹私教”等名义违规开展培训等情况。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（五）看材料和人员规范。是否存在培训材料内容不合规、从业人员不符合资质等现象，重点核查前期专项排查发现问题整改落实等情况。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（六）看数据信息填报。是否落实全国校外教育培训监管与服务综合平台使用要求，重点核查填报数据信息及时性、完整性、准确性等情况。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（七）看风险防范。是否能及时发现并有效防范、化解各类风险隐患，重点核查解决退费难问题、校外培训监管执法、防范化解劳动用工风险等机制建立及落实等情况。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三、工作要求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（一）加强组织领导。各地要充分认识校外培训治理的长期性、艰巨性、复杂性，深刻领会“回头看”对于巩固成果、深化治理的重大意义，加强工作部署，制定工作方案，精心组织实施，确保工作效果。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二）压实工作责任。按照职责分工，各地要全面开展区域内培训机构摸排工作，聚焦问题、突出重点、不留死角。省级、地市级要在县级自查基础上，逐级开展抽查，发现问题要及时指导处理，务求实效。教育部将在各地全面摸排处理的基础上适时组织抽查、暗访，对发现因不作为而导致隐形变异反弹严重、人民群众反映强烈的，予以严肃问责。</w:t>
      </w:r>
    </w:p>
    <w:p w:rsidR="00084841" w:rsidRDefault="00084841" w:rsidP="00084841">
      <w:pPr>
        <w:ind w:firstLineChars="200" w:firstLine="420"/>
        <w:jc w:val="left"/>
      </w:pPr>
      <w:r>
        <w:rPr>
          <w:rFonts w:hint="eastAsia"/>
        </w:rPr>
        <w:t>（三）健全长效机制。以“回头看”为契机，进一步完善校外培训监管长效机制，健全党委和政府统一领导、部门齐抓共管的格局，推动日常监管、巡查暗访、违规查处等制度建设，确保“有人管、有人查、有人巡、管得住、管得好”。</w:t>
      </w:r>
    </w:p>
    <w:p w:rsidR="00084841" w:rsidRDefault="00084841" w:rsidP="00084841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请各省级教育行政部门从即日起在每月</w:t>
      </w:r>
      <w:r>
        <w:t>15</w:t>
      </w:r>
      <w:r>
        <w:t>日和</w:t>
      </w:r>
      <w:r>
        <w:t>30</w:t>
      </w:r>
      <w:r>
        <w:t>日前，通过全国校外教育培训监管与服务综合平台报送</w:t>
      </w:r>
      <w:r>
        <w:t>“</w:t>
      </w:r>
      <w:r>
        <w:t>回头看</w:t>
      </w:r>
      <w:r>
        <w:t>”</w:t>
      </w:r>
      <w:r>
        <w:t>阶段性进展情况；</w:t>
      </w:r>
      <w:r>
        <w:t>2022</w:t>
      </w:r>
      <w:r>
        <w:t>年</w:t>
      </w:r>
      <w:r>
        <w:t>6</w:t>
      </w:r>
      <w:r>
        <w:t>月</w:t>
      </w:r>
      <w:r>
        <w:t>15</w:t>
      </w:r>
      <w:r>
        <w:t>日前完成</w:t>
      </w:r>
      <w:r>
        <w:t>“</w:t>
      </w:r>
      <w:r>
        <w:t>回头看</w:t>
      </w:r>
      <w:r>
        <w:t>”</w:t>
      </w:r>
      <w:r>
        <w:t>所有任务，并于</w:t>
      </w:r>
      <w:r>
        <w:t>6</w:t>
      </w:r>
      <w:r>
        <w:t>月</w:t>
      </w:r>
      <w:r>
        <w:t>30</w:t>
      </w:r>
      <w:r>
        <w:t>日前将本省份</w:t>
      </w:r>
      <w:r>
        <w:t>“</w:t>
      </w:r>
      <w:r>
        <w:t>回头看</w:t>
      </w:r>
      <w:r>
        <w:t>”</w:t>
      </w:r>
      <w:r>
        <w:t>正式报告及附件纸质版报送至教育部（校外教育培训监管司）。</w:t>
      </w:r>
    </w:p>
    <w:p w:rsidR="00084841" w:rsidRDefault="00084841" w:rsidP="00084841">
      <w:pPr>
        <w:ind w:firstLineChars="200" w:firstLine="420"/>
        <w:jc w:val="right"/>
        <w:rPr>
          <w:rFonts w:hint="eastAsia"/>
        </w:rPr>
      </w:pPr>
      <w:r w:rsidRPr="009C40E5">
        <w:rPr>
          <w:rFonts w:hint="eastAsia"/>
        </w:rPr>
        <w:t>教育部办公厅</w:t>
      </w:r>
      <w:r>
        <w:rPr>
          <w:rFonts w:hint="eastAsia"/>
        </w:rPr>
        <w:t>2022-3-31</w:t>
      </w:r>
    </w:p>
    <w:p w:rsidR="00084841" w:rsidRDefault="00084841" w:rsidP="002238AF">
      <w:pPr>
        <w:sectPr w:rsidR="00084841" w:rsidSect="002238A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676F7" w:rsidRDefault="003676F7"/>
    <w:sectPr w:rsidR="00367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841"/>
    <w:rsid w:val="00084841"/>
    <w:rsid w:val="0036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8484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8484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Win10NeT.COM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2022-06-15T06:18:00Z</dcterms:created>
</cp:coreProperties>
</file>