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0D7" w:rsidRDefault="00D820D7" w:rsidP="00313277">
      <w:pPr>
        <w:pStyle w:val="1"/>
        <w:rPr>
          <w:rFonts w:hint="eastAsia"/>
        </w:rPr>
      </w:pPr>
      <w:r w:rsidRPr="005A746E">
        <w:rPr>
          <w:rFonts w:hint="eastAsia"/>
        </w:rPr>
        <w:t>解读《北京教育信息化“十四五”规划》，聚焦</w:t>
      </w:r>
      <w:r w:rsidRPr="005A746E">
        <w:t>5个继续教育重点</w:t>
      </w:r>
    </w:p>
    <w:p w:rsidR="00D820D7" w:rsidRDefault="00D820D7" w:rsidP="00D820D7">
      <w:pPr>
        <w:ind w:firstLineChars="200" w:firstLine="420"/>
        <w:jc w:val="left"/>
      </w:pPr>
      <w:r>
        <w:t>3</w:t>
      </w:r>
      <w:r>
        <w:t>月</w:t>
      </w:r>
      <w:r>
        <w:t>14</w:t>
      </w:r>
      <w:r>
        <w:t>日，《北京教育信息化</w:t>
      </w:r>
      <w:r>
        <w:t>“</w:t>
      </w:r>
      <w:r>
        <w:t>十四五</w:t>
      </w:r>
      <w:r>
        <w:t>”</w:t>
      </w:r>
      <w:r>
        <w:t>规划》发布，到</w:t>
      </w:r>
      <w:r>
        <w:t>2025</w:t>
      </w:r>
      <w:r>
        <w:t>年，北京教育信息化将实现</w:t>
      </w:r>
      <w:r>
        <w:t>“</w:t>
      </w:r>
      <w:r>
        <w:t>七个全面</w:t>
      </w:r>
      <w:r>
        <w:t>”</w:t>
      </w:r>
      <w:r>
        <w:t>的发展目标。通过科技赋能教育，推动人才培养模式变革，提升教育质量，助力减负增效，促进教育公平。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从规划中可以看到以下几条与继续教育相关的重要信息：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创新职业教育模式，提升高素质技能人才供给能力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鼓励校企联合开发虚拟仿真、技能实训等数字教学资源，打造一批符合产业发展需要和具有产教融合特色的创新性、应用性、共享性课程。推进现实与虚拟相融合的数字化实训基地建设，创新工学结合、学训一体的信息化教学方式。建设教学环境、实训场地、工作场所与虚拟场景融合的教学空间，满足新时代、新业态、新技术的数字化人才培养需要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以信息化助推高校发展，提升高层次人才培养能力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聚焦新时代对人才培养的新需求，将教育信息化作为高校系统性变革的内生变量，推动教育理念更新、模式变革、体系重构。大力推进高校数字校园建设，完善学校治理体制机制，深化教育教学改革创新，优化学科和专业布局，全面提升人才培养、科学研究、社会服务、文化传承创新和国际交流合作能力。积极推进区块链、边缘计算、智联网等新技术创新应用，推动高校数字化转型，提升教育治理能力和水平。鼓励高校建设优质数字课程资源，构建线上线下融合、校内校外融通、人技结合的新型教学体系，为师生提供数字化、个性化、智能化新型教育教学环境，服务高层次复合型人才培养。深入挖掘人工智能、虚拟现实、大数据等关联技术的支撑辐射作用，促进高校、科研院所、企业科研合作，推动科研资源开放共享与成果转化，服务北京科技创新中心建设。构建网络化国际教育合作与交流平台，通过网络课程、线上考试、学分互认等打破时空，推进跨国合作办学，创新国际人才培养模式。扩大开放性国际数字资源共建共享，传播中国优秀文化，促进多样文明互学互鉴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建立数字学习档案，提升支撑终身学习服务能力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加快构建网络化、数字化、个性化、终身化的教育体系，推进基础教育、职业教育、高等教育、继续教育统筹协调与融合发展。开展学分银行建设试点，探索建立市民终身学习成果档案，以信息化支撑多种形式学习成果的认定、累积和转换，实现不同类型教育、学历与非学历教育、校内与校外教育之间的互通衔接，畅通终身学习和人才成长的渠道。建设智能化终身学习公共服务平台，推动社会学习资源共建共享，深化城教融合，满足全民灵活多样的学习需求，实现人人皆学、处处能学、时时可学，服务高水平学习型城市建设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以信息化创新评价方式，深化新时代教育评价改革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利用大数据、人工智能等现代信息技术，创新评价工具，实施多维度综合性数据评价，提高政府、学校、学生、教师、用人等评价的科学性和规范性。开展无感式、伴随式数据采集，利用人工智能进行多元化、过程化大数据分析，实现各学段全过程纵向评价、德智体美劳全要素横向评价，实现教与学评价的智能化。建立教师教学和专业发展数字档案，开展师德师风、教学活动、科学研究、社会服务等方面基于数据的科学评价。推广新一代信息技术支持的智能化评测、在线面试等人机协同招考方式，提高工作效率和质量。完善网络化、规模化机考，提高招生考试工作的组织管理和监控能力，确保考试公平、公正、安全。将教育数据作为督导评估重要内容，完善信息化评估监测机制，增强督导评价的专业性、独立性和客观性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打造专业队伍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加强信息化管理队伍建设，遴选具有创新意识、责任心强、擅于管理的精干人员到信息化管理部门，提高统筹规划、组织实施水平。突出专业人才队伍建设，建立健全多层次信息化人才培养体系，开展系统化培训，提升人员技术素养和能力，适应新技术发展，满足业务保障要求。不断完善考核、激励、人才引进等机制，促进信息学科教师的职业发展。发展教育信息化科研队伍，采取政企、校企联合研发等方式，培养科研与实践应用兼备的人才，壮大教育信息化和网络安全工作队伍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通过研读《北京教育信息化“十四五”规划》，可以看到几个重要动向：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一是将虚拟仿真技术和技能实训相结合，使虚拟场景应用于教学，增加身临其境的现场感，推进现实与虚拟相融合的数字化实训基地建设，创新工学结合、学训一体的信息化教学方式。这将使教学和实训变得灵活化、多样化，有利降低成本，减少安全风险，加强教学实效，为学习者增加实践能力，创造良好场域环境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二是大力推进高校数字校园建设，打造智慧校园，使得高校建设优质数字课程资源，构建线上线下融合、校内校外融通、人技结合的新型教学体系，为师生提供数字化、个性化、智能化新型教育教学环境，服务高层次复合型人才培养成为可能。同时，为教育的国际化创造良好的基础条件，为传播中国优秀文化，促进多样文明互学互鉴，为全面提升人才培养、科学研究、社会服务、文化传承创新和国际交流合作能力创造良好条件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三是推进基础教育、职业教育、高等教育、继续教育统筹协调与融合发展，通过开展学分银行建设试点，实现多种形式学习成果的认定、累积和转换，实现不同类型教育、学历与非学历教育、校内与校外教育之间的互通衔接，畅通终身学习和人才成长的渠道，同时可满足全民灵活多样的学习需求，实现人人皆学、处处能学、时时可学，服务高水平学习型城市建设。</w:t>
      </w:r>
    </w:p>
    <w:p w:rsidR="00D820D7" w:rsidRDefault="00D820D7" w:rsidP="00D820D7">
      <w:pPr>
        <w:ind w:firstLineChars="200" w:firstLine="420"/>
        <w:jc w:val="left"/>
      </w:pPr>
      <w:r>
        <w:rPr>
          <w:rFonts w:hint="eastAsia"/>
        </w:rPr>
        <w:t>四是利用大数据、人工智能等现代信息技术，使教育变得有感知触角，能及时感知学习者学习状态，收集教育反馈信息，为进一步优化课程和教育方法，提高工作效率和教学质量，打下良好基础，实现教与学评价的智能化，实现教育的智慧化，增强督导评价的专业性、独立性和客观性。</w:t>
      </w:r>
    </w:p>
    <w:p w:rsidR="00D820D7" w:rsidRDefault="00D820D7" w:rsidP="00D820D7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五是教育信息化建设，需要专业人才队伍，不仅要培养专业技术人才，同时也要培养管理人才和新媒体内容建设从业人员。其中新媒体内容建设人员需要与时俱进的信息素养，更需要具有立德树人的精神素养，需要学习相关知识，为培养德才兼备的人才打下良好基础。新媒体内容建设人员的专业素养与人才培养的效果直接相关，因此需要加强相关培训力度，使这支队伍越来越强，越来越能适应时代发展需求。</w:t>
      </w:r>
    </w:p>
    <w:p w:rsidR="00D820D7" w:rsidRPr="005A746E" w:rsidRDefault="00D820D7" w:rsidP="00D820D7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网易</w:t>
      </w:r>
      <w:r>
        <w:rPr>
          <w:rFonts w:hint="eastAsia"/>
        </w:rPr>
        <w:t>2022-3-16</w:t>
      </w:r>
    </w:p>
    <w:p w:rsidR="00D820D7" w:rsidRDefault="00D820D7" w:rsidP="008F5284">
      <w:pPr>
        <w:sectPr w:rsidR="00D820D7" w:rsidSect="008F528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86B23" w:rsidRDefault="00086B23"/>
    <w:sectPr w:rsidR="00086B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20D7"/>
    <w:rsid w:val="00086B23"/>
    <w:rsid w:val="00D820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20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20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2097</Characters>
  <Application>Microsoft Office Word</Application>
  <DocSecurity>0</DocSecurity>
  <Lines>17</Lines>
  <Paragraphs>4</Paragraphs>
  <ScaleCrop>false</ScaleCrop>
  <Company>Win10NeT.COM</Company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2022-06-15T06:35:00Z</dcterms:created>
</cp:coreProperties>
</file>