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01D" w:rsidRDefault="0011501D" w:rsidP="000E0612">
      <w:pPr>
        <w:pStyle w:val="1"/>
      </w:pPr>
      <w:r w:rsidRPr="000E0612">
        <w:rPr>
          <w:rFonts w:hint="eastAsia"/>
        </w:rPr>
        <w:t>水利部印发关于建立健全节水制度政策的指导意见和实施方案</w:t>
      </w:r>
    </w:p>
    <w:p w:rsidR="0011501D" w:rsidRDefault="0011501D" w:rsidP="0011501D">
      <w:pPr>
        <w:ind w:firstLineChars="200" w:firstLine="420"/>
      </w:pPr>
      <w:r>
        <w:rPr>
          <w:rFonts w:hint="eastAsia"/>
        </w:rPr>
        <w:t>据水利部</w:t>
      </w:r>
      <w:r>
        <w:t>12</w:t>
      </w:r>
      <w:r>
        <w:t>月</w:t>
      </w:r>
      <w:r>
        <w:t>28</w:t>
      </w:r>
      <w:r>
        <w:t>日消息，为深入贯彻党的十九大和十九届历次全会精神，完整、准确、全面贯彻新发展理念，落实</w:t>
      </w:r>
      <w:r>
        <w:t>“</w:t>
      </w:r>
      <w:r>
        <w:t>节水优先、空间均衡、系统治理、两手发力</w:t>
      </w:r>
      <w:r>
        <w:t>”</w:t>
      </w:r>
      <w:r>
        <w:t>治水思路，全方位贯彻</w:t>
      </w:r>
      <w:r>
        <w:t>“</w:t>
      </w:r>
      <w:r>
        <w:t>四水四定</w:t>
      </w:r>
      <w:r>
        <w:t>”</w:t>
      </w:r>
      <w:r>
        <w:t>原则，全面提升水资源集约节约安全利用水平，推动新阶段水利高质量发展，近日，水利部印发《关于建立健全节水制度政策的指导意见》（以下简称《指导意见》），水利部办公厅印发《</w:t>
      </w:r>
      <w:r>
        <w:t>“</w:t>
      </w:r>
      <w:r>
        <w:t>十四五</w:t>
      </w:r>
      <w:r>
        <w:t>”</w:t>
      </w:r>
      <w:r>
        <w:t>时期建立健全节水制度政策实施方案》（以下简称《实施方案》），明确了建立健全节水制度政策的主要目标，系统部署各项任务措施。</w:t>
      </w:r>
    </w:p>
    <w:p w:rsidR="0011501D" w:rsidRDefault="0011501D" w:rsidP="000E0612">
      <w:r>
        <w:rPr>
          <w:rFonts w:hint="eastAsia"/>
        </w:rPr>
        <w:t xml:space="preserve">　　《指导意见》指出，在全面建设社会主义现代化国家进程中，统筹发展和安全面临着水资源短缺瓶颈制约，必须坚持量水而行、节水为重，从观念、意识、措施等各方面把节水摆在优先位置，强化水资源刚性约束，全面提升水资源集约节约利用能力，为全面建设社会主义现代化国家提供水安全支撑。</w:t>
      </w:r>
    </w:p>
    <w:p w:rsidR="0011501D" w:rsidRDefault="0011501D" w:rsidP="000E0612">
      <w:r>
        <w:rPr>
          <w:rFonts w:hint="eastAsia"/>
        </w:rPr>
        <w:t xml:space="preserve">　　《指导意见》明确了建立健全节水制度政策的指导思想、基本原则和工作目标。要求到</w:t>
      </w:r>
      <w:r>
        <w:t>2025</w:t>
      </w:r>
      <w:r>
        <w:t>年，初始水权分配和交易制度基本建立，水资源刚性约束</w:t>
      </w:r>
      <w:r>
        <w:t>“</w:t>
      </w:r>
      <w:r>
        <w:t>硬指标</w:t>
      </w:r>
      <w:r>
        <w:t>”</w:t>
      </w:r>
      <w:r>
        <w:t>基本建立，水资源监管</w:t>
      </w:r>
      <w:r>
        <w:t>“</w:t>
      </w:r>
      <w:r>
        <w:t>硬措施</w:t>
      </w:r>
      <w:r>
        <w:t>”</w:t>
      </w:r>
      <w:r>
        <w:t>得到有效落实，推动落实</w:t>
      </w:r>
      <w:r>
        <w:t>“</w:t>
      </w:r>
      <w:r>
        <w:t>四水四定</w:t>
      </w:r>
      <w:r>
        <w:t>”</w:t>
      </w:r>
      <w:r>
        <w:t>的</w:t>
      </w:r>
      <w:r>
        <w:t>“</w:t>
      </w:r>
      <w:r>
        <w:t>硬约束</w:t>
      </w:r>
      <w:r>
        <w:t>”</w:t>
      </w:r>
      <w:r>
        <w:t>基本形成，面向全社会的节水制度与约束激励机制基本形成，水资源开发利用得到严格管控，用水效率效益明显提升，全国经济社会用水总量控制在</w:t>
      </w:r>
      <w:r>
        <w:t>6400</w:t>
      </w:r>
      <w:r>
        <w:t>亿立方米以内，全国万元</w:t>
      </w:r>
      <w:r>
        <w:t>GDP</w:t>
      </w:r>
      <w:r>
        <w:t>用水量下降</w:t>
      </w:r>
      <w:r>
        <w:t>16%</w:t>
      </w:r>
      <w:r>
        <w:t>左右，北方</w:t>
      </w:r>
      <w:r>
        <w:t>60%</w:t>
      </w:r>
      <w:r>
        <w:t>以上、南方</w:t>
      </w:r>
      <w:r>
        <w:t>40%</w:t>
      </w:r>
      <w:r>
        <w:t>以上县（区）级行政区达到节水型社会建设标准；万元工业增加值用水量下降</w:t>
      </w:r>
      <w:r>
        <w:t>16%</w:t>
      </w:r>
      <w:r>
        <w:rPr>
          <w:rFonts w:hint="eastAsia"/>
        </w:rPr>
        <w:t>，农田灌溉水有效利用系数提高到</w:t>
      </w:r>
      <w:r>
        <w:t>0.58</w:t>
      </w:r>
      <w:r>
        <w:t>，新增高效节水灌溉面积</w:t>
      </w:r>
      <w:r>
        <w:t>0.6</w:t>
      </w:r>
      <w:r>
        <w:t>亿亩，城市公共供水管网漏损率低于</w:t>
      </w:r>
      <w:r>
        <w:t>9%</w:t>
      </w:r>
      <w:r>
        <w:t>，全国非常规水源利用量超过</w:t>
      </w:r>
      <w:r>
        <w:t>170</w:t>
      </w:r>
      <w:r>
        <w:t>亿立方米。</w:t>
      </w:r>
    </w:p>
    <w:p w:rsidR="0011501D" w:rsidRDefault="0011501D" w:rsidP="000E0612">
      <w:r>
        <w:rPr>
          <w:rFonts w:hint="eastAsia"/>
        </w:rPr>
        <w:t xml:space="preserve">　　《指导意见》提出了建立健全节水制度政策的主要任务：一是建立健全初始水权分配和交易制度，包括科学确定河湖基本生态流量保障目标和地下水水位控制目标、逐步明晰区域初始水权、逐步明晰取用水户的用水权、引导推进水权交易；二是严格水资源监管，包括严格生态流量监管与地下水水位管控、严控水资源开发利用总量、实行水资源用途管制、全面开展规划水资源论证、严格建设项目水资源论证和取水许可监管、实行水资源超载地区暂停新增取水许可、健全水资源监测系统；三是建立健全全社会节水制度政策，包括建立健全节水指标与标准、做好国家节水行动实施的组织推动、建立健全节水监督管理制度、强化重点区域领域节水、健全节水激励机制；四是强化法制、科技和宣传支撑，包括强化法制支撑、强化科技支撑、加强水资源节约保护宣传与科普；五是组织保障，包括加强组织领导、加强与有关部门的沟通协作、切实加大投入、健全考核制度。</w:t>
      </w:r>
    </w:p>
    <w:p w:rsidR="0011501D" w:rsidRDefault="0011501D" w:rsidP="000E0612">
      <w:pPr>
        <w:ind w:firstLine="420"/>
      </w:pPr>
      <w:r>
        <w:rPr>
          <w:rFonts w:hint="eastAsia"/>
        </w:rPr>
        <w:t>与《指导意见》相配套，水利部办公厅面向相关司局和直属单位印发了《实施方案》，将《指导意见》提出的目标与任务进一步细化实化为</w:t>
      </w:r>
      <w:r>
        <w:t>67</w:t>
      </w:r>
      <w:r>
        <w:t>项具体措施，明确了每项具体措施的责任单位和完成时限。</w:t>
      </w:r>
    </w:p>
    <w:p w:rsidR="0011501D" w:rsidRPr="000E0612" w:rsidRDefault="0011501D" w:rsidP="000E0612">
      <w:pPr>
        <w:ind w:firstLine="420"/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2021-12-28</w:t>
      </w:r>
    </w:p>
    <w:p w:rsidR="0011501D" w:rsidRDefault="0011501D" w:rsidP="002A649D">
      <w:pPr>
        <w:sectPr w:rsidR="0011501D" w:rsidSect="002A64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6B5F" w:rsidRDefault="00296B5F"/>
    <w:sectPr w:rsidR="00296B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501D"/>
    <w:rsid w:val="0011501D"/>
    <w:rsid w:val="00296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501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1501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Company>微软中国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2022-06-10T01:44:00Z</dcterms:created>
</cp:coreProperties>
</file>