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343" w:rsidRDefault="00CE7343" w:rsidP="00713EDE">
      <w:pPr>
        <w:pStyle w:val="1"/>
        <w:rPr>
          <w:rFonts w:hint="eastAsia"/>
        </w:rPr>
      </w:pPr>
      <w:r w:rsidRPr="00206459">
        <w:rPr>
          <w:rFonts w:hint="eastAsia"/>
        </w:rPr>
        <w:t>四川政法机关出实招</w:t>
      </w:r>
      <w:r w:rsidRPr="00206459">
        <w:t xml:space="preserve"> 保护民营企业财产权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政策亮点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◎立足监督行政执法的新职能印发“十不准”，划定执法“红线”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◎坚持有错必纠的原则，依法纠正侵害民营企业产权的错案冤案，提高民营企业家对国家法治的信心和财富安全感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◎加大涉民营企业债权的执行工作力度，帮助企业排除妨害，充分行使自身的合法财产权益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◎深入开展扫黑除恶专项斗争，坚决打击侵犯民营企业合法权益的黑恶势力犯罪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本报记者吴忧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“有恒产者才有恒心。”日前，在政法机关依法保障和服务民营企业健康发展座谈会上，四汇建设集团有限公司董事长洪思新提出了自己的希望，“希望政法机关切实加强落实保护产权政策，让企业经营者感到安全，为民营企业发展提供可预期的环境。”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近期，全省政法机关纷纷拿出实招提升执法司法质效，将宪法和法律保护财产权的规定作为刚性要求，确保民营企业和企业家财产权益不受侵犯。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规范</w:t>
      </w:r>
      <w:r>
        <w:t xml:space="preserve"> </w:t>
      </w:r>
      <w:r>
        <w:t>划定执法</w:t>
      </w:r>
      <w:r>
        <w:t>“</w:t>
      </w:r>
      <w:r>
        <w:t>红线</w:t>
      </w:r>
      <w:r>
        <w:t>”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“不准随便作出停产停业、查封扣押等决定；不准向企业乱收费、变相收费；不准借执法之名吃、拿、卡、要……”重新组建的司法厅刚刚挂牌，就立足监督行政执法的新职能印发了“十不准”，划定执法“红线”。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省司法厅相关负责人介绍，“十不准”针对的就是企业家普遍反映的“痛点”，包括不规范的行政执法活动对企业合法财产权造成的妨害。司法厅将加大行政执法监督力度，严格规范公正文明执法，以实际行动支持和促进我省民营经济健康发展。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与之类似，近日出台的《新时代四川省检察机关依法保障和促进民营经济健康发展的意见》也提出：“在自行补充侦查过程中，需要对涉案财物予以查封、扣押、冻结的，应当为民营企业预留必要的流动资金和往来账户；对正在投入生产运营和正在用于科技创新、产品研发的设备、资金和技术资料等，原则上不予查封、扣押、冻结。”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省检察院相关负责人介绍，检察机关还将继续加大在办理刑事申诉、国家赔偿案件中的产权保护工作力度，及时甄别社会反映强烈、民营企业长期反映的产权纠纷申诉案件。坚持有错必纠的原则，依法纠正侵害民营企业产权的错案冤案，及时向社会发布和通报错案纠正信息，提高民营企业家对国家法治的信心和财富安全感。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亮剑</w:t>
      </w:r>
      <w:r>
        <w:t xml:space="preserve"> </w:t>
      </w:r>
      <w:r>
        <w:t>解决企业</w:t>
      </w:r>
      <w:r>
        <w:t>“</w:t>
      </w:r>
      <w:r>
        <w:t>痛点</w:t>
      </w:r>
      <w:r>
        <w:t>”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年关将近，不少企业都在为讨账头疼。在洪思新看来，债权利益无法及时实现，会让民营企业发展陷入停滞，严重的更危及整个企业资金链的安全。瞄准民营企业的这一“痛点”，全省法院加大了涉民营企业债权的执行工作力度，帮助企业排除妨害，充分行使自身的合法财产权益。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省法院相关负责人介绍，正在开展的“基本解决执行难”专项工作将继续深化开展，全省法院系统将综合运用各种执行手段，特别是充分发挥执行联动、公布失信被执行人名单等制度作用，织密信用惩戒网络，最大限度保障民营企业债权及时兑现。</w:t>
      </w:r>
    </w:p>
    <w:p w:rsidR="00CE7343" w:rsidRDefault="00CE7343" w:rsidP="00CE7343">
      <w:pPr>
        <w:ind w:firstLineChars="200" w:firstLine="420"/>
      </w:pPr>
      <w:r>
        <w:rPr>
          <w:rFonts w:hint="eastAsia"/>
        </w:rPr>
        <w:t>今年以来，扫黑除恶专项斗争在全省范围内深入开展，涉黑涉恶犯罪活动得到有效遏制，充分保障了包括民营企业在内的各类企业正常生产经营秩序。</w:t>
      </w:r>
    </w:p>
    <w:p w:rsidR="00CE7343" w:rsidRDefault="00CE7343" w:rsidP="00CE7343">
      <w:pPr>
        <w:ind w:firstLineChars="200" w:firstLine="420"/>
        <w:rPr>
          <w:rFonts w:hint="eastAsia"/>
        </w:rPr>
      </w:pPr>
      <w:r>
        <w:rPr>
          <w:rFonts w:hint="eastAsia"/>
        </w:rPr>
        <w:t>省公安厅相关负责人表示，公安机关将继续在护航上下功夫，深入开展扫黑除恶专项斗争，坚决打击侵犯民营企业合法权益的黑恶势力犯罪。与此同时，公安机关将对合同诈骗、金融诈骗等扰乱市场经济秩序犯罪，职务侵占、挪用资金等侵犯财产犯罪，以及涉及民营企业的索贿受贿等职务犯罪，加大打击力度。</w:t>
      </w:r>
    </w:p>
    <w:p w:rsidR="00CE7343" w:rsidRDefault="00CE7343" w:rsidP="00CE7343">
      <w:pPr>
        <w:ind w:firstLineChars="200" w:firstLine="420"/>
        <w:jc w:val="right"/>
        <w:rPr>
          <w:rFonts w:hint="eastAsia"/>
        </w:rPr>
      </w:pPr>
      <w:r w:rsidRPr="00206459">
        <w:rPr>
          <w:rFonts w:hint="eastAsia"/>
        </w:rPr>
        <w:t>四川日报</w:t>
      </w:r>
      <w:r>
        <w:rPr>
          <w:rFonts w:hint="eastAsia"/>
        </w:rPr>
        <w:t>2018-12-21</w:t>
      </w:r>
    </w:p>
    <w:p w:rsidR="00CE7343" w:rsidRDefault="00CE7343" w:rsidP="00374991">
      <w:pPr>
        <w:sectPr w:rsidR="00CE7343" w:rsidSect="0037499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47A7D" w:rsidRDefault="00747A7D"/>
    <w:sectPr w:rsidR="00747A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7343"/>
    <w:rsid w:val="00747A7D"/>
    <w:rsid w:val="00CE73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E73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E734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E734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1146</Characters>
  <Application>Microsoft Office Word</Application>
  <DocSecurity>0</DocSecurity>
  <Lines>9</Lines>
  <Paragraphs>2</Paragraphs>
  <ScaleCrop>false</ScaleCrop>
  <Company>Win10NeT.COM</Company>
  <LinksUpToDate>false</LinksUpToDate>
  <CharactersWithSpaces>1345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2022-06-27T08:07:00Z</dcterms:created>
</cp:coreProperties>
</file>