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2AC" w:rsidRDefault="006532AC" w:rsidP="00746063">
      <w:pPr>
        <w:pStyle w:val="1"/>
        <w:rPr>
          <w:rFonts w:hint="eastAsia"/>
        </w:rPr>
      </w:pPr>
      <w:r w:rsidRPr="00746063">
        <w:rPr>
          <w:rFonts w:hint="eastAsia"/>
        </w:rPr>
        <w:t>组织为干部担当</w:t>
      </w:r>
      <w:r w:rsidRPr="00746063">
        <w:t xml:space="preserve"> 干部为事业担当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●划清因乱作为而犯错和因敢作为而失误的界限，区分干部失误、错误与违纪违法行为的本质区别，决不能让容错纠错成为庸官的“护身符”、乱作为者的“挡箭牌”、“问题干部”的“避风港”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●对符合容错免责情形的干部，不作负面评价，不影响政绩考核，不影响评先评优，不影响提拔使用；对被问责的干部，给予总结教训、改正错误、获得进步的机会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党的十九大强调，建立激励机制和容错纠错机制，旗帜鲜明为那些敢于担当、踏实做事、不谋私利的干部撑腰鼓劲。这一重要论述，贯穿着严管和厚爱结合、激励和约束并重的辩证法。全国组织部长会议明确要求，要深入研究新时代干部管理工作特点和规律，坚持严管与厚爱辩证法，把干部的精气神引导凝聚到干事创业上来。要深入贯彻落实党的十九大精神，着眼于激励广大干部新时代新担当新作为，健全容错纠错机制，做好容错纠错工作，通过上级为下级担当、组织为干部担当，引导广大党员干部更好地为事业担当，以昂扬的精气神推动改革发展。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把握容错纠错的原则，激励干部在遵规守纪的前提下改革创新、担当实干。容错纠错，绝不是搞纪律松绑、管理松懈、作风“减压”，更不是对干部失误错误的无原则包容、无底线纵容。激励广大干部新时代新担当新作为，要正确理解容错纠错与全面从严治党、从严治吏的辩证关系，以党章党规和法律法规为准绳，严守党纪底线、国法红线，划清因乱作为而犯错和因敢作为而失误的界限，区分干部失误、错误与违纪违法行为的本质区别，激励党员干部在遵规守纪的前提下敢闯敢试、开拓创新、攻坚克难、加快发展，决不能让容错纠错成为庸官的“护身符”、乱作为者的“挡箭牌”、“问题干部”的“避风港”。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界定容错免责的界限，让干部可对照、组织好判断、普遍能执行。一些干部之所以不敢试、不敢为，很大程度上是怕出错而被问责，思想上有包袱。这就需要组织上给干部明确容错免责的界限，让干部知道什么事可以做、什么事不能做，消除干部担心“动辄则咎”甚至“被一棍子打死”的后顾之忧。从江西实践来看，我们以“三个区分开来”为根本遵循，提出了“法律法规没有明令禁止；符合中央和省委省政府决策部署；有利于改革创新和发展大局；经过民主决策程序；没有为自己、他人或单位谋取私利；积极主动采取措施消除影响或挽回损失”等</w:t>
      </w:r>
      <w:r>
        <w:t>6</w:t>
      </w:r>
      <w:r>
        <w:t>项可予以容错的必备</w:t>
      </w:r>
      <w:r>
        <w:rPr>
          <w:rFonts w:hint="eastAsia"/>
        </w:rPr>
        <w:t>条件，明确了可以容错的具体情形，划定了不予容错免责的底线红线，引导党员干部既敢闯敢干、又不逾规越矩。</w:t>
      </w:r>
    </w:p>
    <w:p w:rsidR="006532AC" w:rsidRDefault="006532AC" w:rsidP="006532AC">
      <w:pPr>
        <w:ind w:firstLineChars="200" w:firstLine="420"/>
      </w:pPr>
      <w:r>
        <w:rPr>
          <w:rFonts w:hint="eastAsia"/>
        </w:rPr>
        <w:t>秉持不枉不纵的尺度，为敢于担当、踏实干事、不谋私利的干部保驾护航。激励广大干部新时代新担当新作为，重在敢于担当，难在精准认定。在实际工作中，我们按照干部管理权限和“谁问责追责谁容错纠错”的原则，要求相关执纪问责机关或部门在启动问责程序或责任调查过程中，按照容错政策界限，采取“看初衷是出于公心还是源于私利，看性质是遵纪守法还是破纪违法，看程序是履行到位还是规避违反，看履责是用心尽责还是失职塞责，看态度是积极补过还是消极诿过”的“五看”法，查清失误错误的性质、程度及原因，区分个人责任和集体责任、岗位职责和所起作用，对是否可以容错、容到什么程度进行调查核实，做到具体问题具体分析，区别对待、精准容错，既让容错结果服众，又让犯错干部服气。</w:t>
      </w:r>
    </w:p>
    <w:p w:rsidR="006532AC" w:rsidRDefault="006532AC" w:rsidP="006532AC">
      <w:pPr>
        <w:ind w:firstLineChars="200" w:firstLine="420"/>
        <w:rPr>
          <w:rFonts w:hint="eastAsia"/>
        </w:rPr>
      </w:pPr>
      <w:r>
        <w:rPr>
          <w:rFonts w:hint="eastAsia"/>
        </w:rPr>
        <w:t>注重容错结果的运用，最大限度保护干部的积极性。创新新时代新担当新作为工作机制，并使其发挥应有作用，必须合理运用好容错结果，做到正确对待干部、公道评价干部、公正使用干部。从江西实践来看，我们对符合容错免责情形的干部，不作负面评价，不影响政绩考核，不影响评先评优，不影响提拔使用；对被问责的干部，给予总结教训、改正错误、获得进步的机会。特别是对知过就改、积极工作、业绩突出、群众认可的干部，在处理处分影响期满后，根据工作需要又重新起用甚至提拔重用，树立了正确的导向。及时为受到不实反映和误解的干部澄清和正名，坚决查处恶意诬告陷害行为，刹住歪风、弘扬正气。</w:t>
      </w:r>
    </w:p>
    <w:p w:rsidR="006532AC" w:rsidRDefault="006532AC" w:rsidP="00746063">
      <w:pPr>
        <w:ind w:firstLine="420"/>
        <w:jc w:val="right"/>
        <w:rPr>
          <w:rFonts w:hint="eastAsia"/>
        </w:rPr>
      </w:pPr>
      <w:r w:rsidRPr="00746063">
        <w:rPr>
          <w:rFonts w:hint="eastAsia"/>
        </w:rPr>
        <w:t>共产党员网</w:t>
      </w:r>
    </w:p>
    <w:p w:rsidR="006532AC" w:rsidRDefault="006532AC" w:rsidP="00DE5C03">
      <w:pPr>
        <w:sectPr w:rsidR="006532AC" w:rsidSect="00DE5C0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F55F3" w:rsidRDefault="00CF55F3"/>
    <w:sectPr w:rsidR="00CF55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32AC"/>
    <w:rsid w:val="006532AC"/>
    <w:rsid w:val="00CF5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532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532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1364</Characters>
  <Application>Microsoft Office Word</Application>
  <DocSecurity>0</DocSecurity>
  <Lines>11</Lines>
  <Paragraphs>3</Paragraphs>
  <ScaleCrop>false</ScaleCrop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2022-06-20T08:13:00Z</dcterms:created>
</cp:coreProperties>
</file>