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E84" w:rsidRDefault="004F1E84" w:rsidP="006314DA">
      <w:pPr>
        <w:pStyle w:val="1"/>
      </w:pPr>
      <w:r w:rsidRPr="006314DA">
        <w:rPr>
          <w:rFonts w:hint="eastAsia"/>
        </w:rPr>
        <w:t>永安市卫健局多措并举强化机关效能建设</w:t>
      </w:r>
    </w:p>
    <w:p w:rsidR="004F1E84" w:rsidRDefault="004F1E84" w:rsidP="004F1E84">
      <w:pPr>
        <w:ind w:firstLineChars="200" w:firstLine="420"/>
        <w:jc w:val="left"/>
      </w:pPr>
      <w:r>
        <w:rPr>
          <w:rFonts w:hint="eastAsia"/>
        </w:rPr>
        <w:t>今年来，永安市卫健局坚持以依法行政和规范办事行为为重点，采取多项措施，全面推进机关效能建设上台阶。</w:t>
      </w:r>
    </w:p>
    <w:p w:rsidR="004F1E84" w:rsidRDefault="004F1E84" w:rsidP="004F1E84">
      <w:pPr>
        <w:ind w:firstLineChars="200" w:firstLine="420"/>
        <w:jc w:val="left"/>
      </w:pPr>
      <w:r>
        <w:rPr>
          <w:rFonts w:hint="eastAsia"/>
        </w:rPr>
        <w:t>一是健全效能工作机制。主要领导变动后，及时调整机关效能领导小组，建立按职责分工、按制度操作、按时限督办的工作运转机制，使机关岗位职责更加清晰，运转更加灵活，效率更加提升；多次召开效能专题会议进行安排部署，落实效能督查、效能考评等重要工作，确保各项指标达标；坚持以实施二级奖励性绩效为抓手，强化机关效能建设，组织开展绩效考评。</w:t>
      </w:r>
    </w:p>
    <w:p w:rsidR="004F1E84" w:rsidRDefault="004F1E84" w:rsidP="004F1E84">
      <w:pPr>
        <w:ind w:firstLineChars="200" w:firstLine="420"/>
        <w:jc w:val="left"/>
      </w:pPr>
      <w:r>
        <w:rPr>
          <w:rFonts w:hint="eastAsia"/>
        </w:rPr>
        <w:t>二是注重效能作风建设。结合党建检查，组织领导带队到下属各医疗卫生单位开展效能督查。医疗卫生单位能够及时处理患者投诉，将其纳入单位的绩效考评和医德医分考评。充分发挥民意监督作用，共收到人大代表建议</w:t>
      </w:r>
      <w:r>
        <w:t>10</w:t>
      </w:r>
      <w:r>
        <w:t>件和政协提案</w:t>
      </w:r>
      <w:r>
        <w:t>18</w:t>
      </w:r>
      <w:r>
        <w:t>件，做到面访率、答复率、主办件满意率达到</w:t>
      </w:r>
      <w:r>
        <w:t>100</w:t>
      </w:r>
      <w:r>
        <w:t>％；深化政务信息公开，按照卫生健康系统标准化规范化目录，加大对疫情防控、卫生行政许可、行政处罚、财政预决算、医疗质量、水质检测等涉及公众利益信息的公示，截至目前，今年已公示政府信息</w:t>
      </w:r>
      <w:r>
        <w:t>50</w:t>
      </w:r>
      <w:r>
        <w:t>条，发布各类医疗卫生信息</w:t>
      </w:r>
      <w:r>
        <w:t>1000</w:t>
      </w:r>
      <w:r>
        <w:t>余条；及时回应群众投诉，转办群众</w:t>
      </w:r>
      <w:r>
        <w:rPr>
          <w:rFonts w:hint="eastAsia"/>
        </w:rPr>
        <w:t>投诉件</w:t>
      </w:r>
      <w:r>
        <w:t>314</w:t>
      </w:r>
      <w:r>
        <w:t>件。加强党风廉政建设，认真落实</w:t>
      </w:r>
      <w:r>
        <w:t>“</w:t>
      </w:r>
      <w:r>
        <w:t>三重一大</w:t>
      </w:r>
      <w:r>
        <w:t>”</w:t>
      </w:r>
      <w:r>
        <w:t>集体讨论制度，确保决策过程公开、透明。各级公立医疗机构加大对收受红包的整治力度，今年开展卫生健康法律法规培训</w:t>
      </w:r>
      <w:r>
        <w:t>12</w:t>
      </w:r>
      <w:r>
        <w:t>场</w:t>
      </w:r>
      <w:r>
        <w:t>640</w:t>
      </w:r>
      <w:r>
        <w:t>人次，从业人员入职培训</w:t>
      </w:r>
      <w:r>
        <w:t>7</w:t>
      </w:r>
      <w:r>
        <w:t>场</w:t>
      </w:r>
      <w:r>
        <w:t>231</w:t>
      </w:r>
      <w:r>
        <w:t>人次，张贴、播放标语、视频</w:t>
      </w:r>
      <w:r>
        <w:t>9</w:t>
      </w:r>
      <w:r>
        <w:t>条次，出院病人回访调查</w:t>
      </w:r>
      <w:r>
        <w:t>33769</w:t>
      </w:r>
      <w:r>
        <w:t>人次，与医药企业签订廉洁购销合同</w:t>
      </w:r>
      <w:r>
        <w:t>30</w:t>
      </w:r>
      <w:r>
        <w:t>家，拒收或上交</w:t>
      </w:r>
      <w:r>
        <w:t>“</w:t>
      </w:r>
      <w:r>
        <w:t>红包</w:t>
      </w:r>
      <w:r>
        <w:t>”7.41</w:t>
      </w:r>
      <w:r>
        <w:t>万元</w:t>
      </w:r>
      <w:r>
        <w:t>177</w:t>
      </w:r>
      <w:r>
        <w:t>人次。</w:t>
      </w:r>
    </w:p>
    <w:p w:rsidR="004F1E84" w:rsidRDefault="004F1E84" w:rsidP="004F1E84">
      <w:pPr>
        <w:ind w:firstLineChars="200" w:firstLine="420"/>
        <w:jc w:val="left"/>
      </w:pPr>
      <w:r>
        <w:rPr>
          <w:rFonts w:hint="eastAsia"/>
        </w:rPr>
        <w:t>三是突出依法行政办事。推动“网上办”，进一步拓展省网上办事大厅功能，推动审批服务事项“应进必进”，加强线上线下深度融合；鼓励“掌上办”，通过依托闽政通</w:t>
      </w:r>
      <w:r>
        <w:t>APP</w:t>
      </w:r>
      <w:r>
        <w:t>，实现更多高频便民服务事项通过闽政通平台网上受理、办理和反馈；推行</w:t>
      </w:r>
      <w:r>
        <w:t>“</w:t>
      </w:r>
      <w:r>
        <w:t>预约办</w:t>
      </w:r>
      <w:r>
        <w:t>”</w:t>
      </w:r>
      <w:r>
        <w:t>，对需到线下窗口办理的业务，实行预约制度，减少人员聚集；畅通省网上办事大厅、闽政通</w:t>
      </w:r>
      <w:r>
        <w:t>APP</w:t>
      </w:r>
      <w:r>
        <w:t>或电话等多种预约渠道，让企业群众能便利及时预约相关服务；开辟绿色通道，保障重点项目建设，对重点建设项目、招商引资项目全面推行</w:t>
      </w:r>
      <w:r>
        <w:t>“</w:t>
      </w:r>
      <w:r>
        <w:t>绿色通道</w:t>
      </w:r>
      <w:r>
        <w:t>”</w:t>
      </w:r>
      <w:r>
        <w:t>、容缺受理、全程代办服务。今年已接待各类咨询</w:t>
      </w:r>
      <w:r>
        <w:t>600</w:t>
      </w:r>
      <w:r>
        <w:t>余</w:t>
      </w:r>
      <w:r>
        <w:rPr>
          <w:rFonts w:hint="eastAsia"/>
        </w:rPr>
        <w:t>人次，办结行政许可事项、公共服务事项、行政确认事项申请</w:t>
      </w:r>
      <w:r>
        <w:t>1315</w:t>
      </w:r>
      <w:r>
        <w:t>件。同时，加大执法力度，加强对医疗机构执业、人员资质、医疗文书、医疗技术、药品器械管理使用等方面的监管。</w:t>
      </w:r>
      <w:r>
        <w:t>2021</w:t>
      </w:r>
      <w:r>
        <w:t>年共查处医疗机构违法违规、无证行医等案件</w:t>
      </w:r>
      <w:r>
        <w:t>17</w:t>
      </w:r>
      <w:r>
        <w:t>起，罚款金额</w:t>
      </w:r>
      <w:r>
        <w:t>23.7</w:t>
      </w:r>
      <w:r>
        <w:t>万元，没收</w:t>
      </w:r>
      <w:r>
        <w:t>7.0276</w:t>
      </w:r>
      <w:r>
        <w:t>万元；共出动监督车辆</w:t>
      </w:r>
      <w:r>
        <w:t>215</w:t>
      </w:r>
      <w:r>
        <w:t>次，出动监督员</w:t>
      </w:r>
      <w:r>
        <w:t>978</w:t>
      </w:r>
      <w:r>
        <w:t>人次。</w:t>
      </w:r>
    </w:p>
    <w:p w:rsidR="004F1E84" w:rsidRDefault="004F1E84" w:rsidP="004F1E84">
      <w:pPr>
        <w:ind w:firstLineChars="200" w:firstLine="420"/>
        <w:jc w:val="left"/>
      </w:pPr>
      <w:r>
        <w:rPr>
          <w:rFonts w:hint="eastAsia"/>
        </w:rPr>
        <w:t>四是加强效能目标管理。严格落实重点人员管理，开展新冠疫苗接种工作，筑牢疫情防控屏障。今年来累计完成</w:t>
      </w:r>
      <w:r>
        <w:t>18</w:t>
      </w:r>
      <w:r>
        <w:t>岁以上人群第一剂接种数</w:t>
      </w:r>
      <w:r>
        <w:t>251966</w:t>
      </w:r>
      <w:r>
        <w:t>人，覆盖率</w:t>
      </w:r>
      <w:r>
        <w:t>92.79%</w:t>
      </w:r>
      <w:r>
        <w:t>，第二剂接种数</w:t>
      </w:r>
      <w:r>
        <w:t>248894</w:t>
      </w:r>
      <w:r>
        <w:t>人，覆盖率</w:t>
      </w:r>
      <w:r>
        <w:t>91.3%</w:t>
      </w:r>
      <w:r>
        <w:t>，第三剂接种数</w:t>
      </w:r>
      <w:r>
        <w:t>18704</w:t>
      </w:r>
      <w:r>
        <w:t>人；累计完成</w:t>
      </w:r>
      <w:r>
        <w:t>12-17</w:t>
      </w:r>
      <w:r>
        <w:t>岁人群第一剂接种数</w:t>
      </w:r>
      <w:r>
        <w:t>24196</w:t>
      </w:r>
      <w:r>
        <w:t>人，覆盖率</w:t>
      </w:r>
      <w:r>
        <w:t>107.95%</w:t>
      </w:r>
      <w:r>
        <w:t>；第二剂接种数</w:t>
      </w:r>
      <w:r>
        <w:t>24126</w:t>
      </w:r>
      <w:r>
        <w:t>人，覆盖率</w:t>
      </w:r>
      <w:r>
        <w:t>107.64%</w:t>
      </w:r>
      <w:r>
        <w:t>；累计完成</w:t>
      </w:r>
      <w:r>
        <w:t>3-11</w:t>
      </w:r>
      <w:r>
        <w:t>岁人群第一剂</w:t>
      </w:r>
      <w:r>
        <w:t>39732</w:t>
      </w:r>
      <w:r>
        <w:t>人，覆盖率</w:t>
      </w:r>
      <w:r>
        <w:t>95.08%</w:t>
      </w:r>
      <w:r>
        <w:t>，第二剂接种数</w:t>
      </w:r>
      <w:r>
        <w:t>26796</w:t>
      </w:r>
      <w:r>
        <w:t>人，覆盖率</w:t>
      </w:r>
      <w:r>
        <w:t>64.12%</w:t>
      </w:r>
      <w:r>
        <w:t>。扎实开展</w:t>
      </w:r>
      <w:r>
        <w:t>“</w:t>
      </w:r>
      <w:r>
        <w:t>三跑</w:t>
      </w:r>
      <w:r>
        <w:t>”</w:t>
      </w:r>
      <w:r>
        <w:t>和</w:t>
      </w:r>
      <w:r>
        <w:t>“</w:t>
      </w:r>
      <w:r>
        <w:t>五比五晒</w:t>
      </w:r>
      <w:r>
        <w:t>”</w:t>
      </w:r>
      <w:r>
        <w:t>项目工作，加大招商</w:t>
      </w:r>
      <w:r>
        <w:rPr>
          <w:rFonts w:hint="eastAsia"/>
        </w:rPr>
        <w:t>引资力度，截至目前，向上争取政策、资金</w:t>
      </w:r>
      <w:r>
        <w:t>11</w:t>
      </w:r>
      <w:r>
        <w:t>次，争取资金</w:t>
      </w:r>
      <w:r>
        <w:t>5950.43</w:t>
      </w:r>
      <w:r>
        <w:t>万元，占全年任务数的</w:t>
      </w:r>
      <w:r>
        <w:t>105.37%</w:t>
      </w:r>
      <w:r>
        <w:t>；完成报备招商引资签约项目</w:t>
      </w:r>
      <w:r>
        <w:t>1</w:t>
      </w:r>
      <w:r>
        <w:t>个，总投资</w:t>
      </w:r>
      <w:r>
        <w:t>4820</w:t>
      </w:r>
      <w:r>
        <w:t>万元；正在申报招商引资项目</w:t>
      </w:r>
      <w:r>
        <w:t>2</w:t>
      </w:r>
      <w:r>
        <w:t>个，总投资</w:t>
      </w:r>
      <w:r>
        <w:t>13355</w:t>
      </w:r>
      <w:r>
        <w:t>万元（其中</w:t>
      </w:r>
      <w:r>
        <w:t>1</w:t>
      </w:r>
      <w:r>
        <w:t>个项目为文创园共同引资），增补上报省</w:t>
      </w:r>
      <w:r>
        <w:t>2022</w:t>
      </w:r>
      <w:r>
        <w:t>年重点项目</w:t>
      </w:r>
      <w:r>
        <w:t>1</w:t>
      </w:r>
      <w:r>
        <w:t>个，上报</w:t>
      </w:r>
      <w:r>
        <w:t>2022</w:t>
      </w:r>
      <w:r>
        <w:t>年中央预算内补助项目</w:t>
      </w:r>
      <w:r>
        <w:t>1</w:t>
      </w:r>
      <w:r>
        <w:t>个。推动乡村振兴发展，进一步加强和完善农村改厕工作，积极改善农村人居环境，</w:t>
      </w:r>
      <w:r>
        <w:t>2021</w:t>
      </w:r>
      <w:r>
        <w:t>年全市完成</w:t>
      </w:r>
      <w:r>
        <w:t>1</w:t>
      </w:r>
      <w:r>
        <w:t>个国家卫生乡镇（青水乡）、</w:t>
      </w:r>
      <w:r>
        <w:t>3</w:t>
      </w:r>
      <w:r>
        <w:t>个省级卫生乡镇（安砂镇、青水乡、上坪乡）、</w:t>
      </w:r>
      <w:r>
        <w:t>29</w:t>
      </w:r>
      <w:r>
        <w:t>个省级卫生村、</w:t>
      </w:r>
      <w:r>
        <w:t>3</w:t>
      </w:r>
      <w:r>
        <w:t>个省级卫生社区创建申报工作</w:t>
      </w:r>
      <w:r>
        <w:rPr>
          <w:rFonts w:hint="eastAsia"/>
        </w:rPr>
        <w:t>待验收命名。提升医疗服务能力，完成总医院大宗医疗设备集中采购，更新升级包括高端螺旋</w:t>
      </w:r>
      <w:r>
        <w:t>CT</w:t>
      </w:r>
      <w:r>
        <w:t>、磁共振等在内的大型医用设备。积极推进老年友善医疗机构建设，解决老年人运用智能技术困难问题，为群众提供志愿服务站、设立触摸屏、开展病历复印线上申请、共享轮椅业务等便民利民服务。完成慢性病一体化健康管理平台一期建设和乡镇卫生院世行项目分级诊疗系统建设，完成三明市永安总医院总院区发热门诊和</w:t>
      </w:r>
      <w:r>
        <w:t>10</w:t>
      </w:r>
      <w:r>
        <w:t>个乡镇卫生院发热诊室建设、南院区体检中心改造、小陶卫生院数字化预防接种门诊建设。</w:t>
      </w:r>
    </w:p>
    <w:p w:rsidR="004F1E84" w:rsidRDefault="004F1E84" w:rsidP="004F1E84">
      <w:pPr>
        <w:ind w:firstLineChars="200" w:firstLine="420"/>
        <w:jc w:val="left"/>
      </w:pPr>
      <w:r>
        <w:rPr>
          <w:rFonts w:hint="eastAsia"/>
        </w:rPr>
        <w:t>五是提升效能服务成效。围绕卫生行业的重点工作，不断强化服务意识，在推进医改工作、精神文明、党建等方面都取得显著成效。在试点建设方面，永安市立医院荣获第二批符合县医院医疗服务能力推荐标准的县医院名单；三明市第二医院被授予福建省胸外科</w:t>
      </w:r>
      <w:r>
        <w:t>ERAS</w:t>
      </w:r>
      <w:r>
        <w:t>示范分中心；永安市燕西街道新安社区创建全国老年友好型示范社区；永安市卫健局荣获省级文明单位称号，获得三明市委、三明市政府</w:t>
      </w:r>
      <w:r>
        <w:t>“</w:t>
      </w:r>
      <w:r>
        <w:t>十三五</w:t>
      </w:r>
      <w:r>
        <w:t>”</w:t>
      </w:r>
      <w:r>
        <w:t>期间医改工作表现突出集体嘉奖荣誉。</w:t>
      </w:r>
    </w:p>
    <w:p w:rsidR="004F1E84" w:rsidRDefault="004F1E84" w:rsidP="004F1E84">
      <w:pPr>
        <w:ind w:firstLineChars="200" w:firstLine="420"/>
        <w:jc w:val="right"/>
      </w:pPr>
      <w:r w:rsidRPr="006314DA">
        <w:rPr>
          <w:rFonts w:hint="eastAsia"/>
        </w:rPr>
        <w:t>三明市卫健委</w:t>
      </w:r>
      <w:r w:rsidRPr="006314DA">
        <w:t>2021-12-24</w:t>
      </w:r>
    </w:p>
    <w:p w:rsidR="004F1E84" w:rsidRDefault="004F1E84" w:rsidP="00DE5F2F">
      <w:pPr>
        <w:sectPr w:rsidR="004F1E84" w:rsidSect="00DE5F2F">
          <w:type w:val="continuous"/>
          <w:pgSz w:w="11906" w:h="16838"/>
          <w:pgMar w:top="1644" w:right="1236" w:bottom="1418" w:left="1814" w:header="851" w:footer="907" w:gutter="0"/>
          <w:pgNumType w:start="1"/>
          <w:cols w:space="720"/>
          <w:docGrid w:type="lines" w:linePitch="341" w:charSpace="2373"/>
        </w:sectPr>
      </w:pPr>
    </w:p>
    <w:p w:rsidR="00DB3B68" w:rsidRDefault="00DB3B68"/>
    <w:sectPr w:rsidR="00DB3B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1E84"/>
    <w:rsid w:val="004F1E84"/>
    <w:rsid w:val="00DB3B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1E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1E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1729</Characters>
  <Application>Microsoft Office Word</Application>
  <DocSecurity>0</DocSecurity>
  <Lines>14</Lines>
  <Paragraphs>4</Paragraphs>
  <ScaleCrop>false</ScaleCrop>
  <Company>Win10NeT.COM</Company>
  <LinksUpToDate>false</LinksUpToDate>
  <CharactersWithSpaces>2028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