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4156" w:rsidRDefault="00CA4156" w:rsidP="005C5AA5">
      <w:pPr>
        <w:pStyle w:val="1"/>
        <w:rPr>
          <w:rFonts w:hint="eastAsia"/>
        </w:rPr>
      </w:pPr>
      <w:r w:rsidRPr="005C5AA5">
        <w:rPr>
          <w:rFonts w:hint="eastAsia"/>
        </w:rPr>
        <w:t>东胜区：聚焦产业转型</w:t>
      </w:r>
      <w:r w:rsidRPr="005C5AA5">
        <w:t xml:space="preserve"> 推动提质增效</w:t>
      </w:r>
    </w:p>
    <w:p w:rsidR="00CA4156" w:rsidRDefault="00CA4156" w:rsidP="00CA4156">
      <w:pPr>
        <w:ind w:firstLineChars="200" w:firstLine="420"/>
      </w:pPr>
      <w:r>
        <w:rPr>
          <w:rFonts w:hint="eastAsia"/>
        </w:rPr>
        <w:t>今年以来，东胜区立足“工业强区”，以供给侧结构性改革为主线，集中精力做好稳增长、促改革、调结构、强服务、保安全各项工作，加快培育壮大新动能、改造提升传统动能，提升工业经济发展质量和效益。</w:t>
      </w:r>
    </w:p>
    <w:p w:rsidR="00CA4156" w:rsidRDefault="00CA4156" w:rsidP="00CA4156">
      <w:pPr>
        <w:ind w:firstLineChars="200" w:firstLine="420"/>
      </w:pPr>
      <w:r>
        <w:rPr>
          <w:rFonts w:hint="eastAsia"/>
        </w:rPr>
        <w:t>延伸产业链，促进产业集群化发展。深入贯彻发展羊绒产业相关政策，紧盯《呼包鄂协同发展规划纲要（</w:t>
      </w:r>
      <w:r>
        <w:t>2016—2020</w:t>
      </w:r>
      <w:r>
        <w:t>年）》，科学编制绒纺产业发展振兴规划，指导地区羊绒产业链整合。围绕绒纺产业持续加大招商引资引智力度，引进纺织企业及外包装设计、物流配送、市场营销等配套企业入园，形成产业链配套、企业集聚协作发展的规模效应。目前已形成</w:t>
      </w:r>
      <w:r>
        <w:t>100</w:t>
      </w:r>
      <w:r>
        <w:t>余家中小微企业集群发展规模，实现年原绒交易量</w:t>
      </w:r>
      <w:r>
        <w:t>1500</w:t>
      </w:r>
      <w:r>
        <w:t>吨，年羊绒制品生产、加工、交易达到</w:t>
      </w:r>
      <w:r>
        <w:t>15</w:t>
      </w:r>
      <w:r>
        <w:t>万件；围绕汽车制造、能源装备制造、电子产品制造等产业，依托奇瑞、京东方、新兴重工等龙头企</w:t>
      </w:r>
      <w:r>
        <w:rPr>
          <w:rFonts w:hint="eastAsia"/>
        </w:rPr>
        <w:t>业，不断拉长产业链条，引进培育一批上下游配套企业，形成汽车制造、能源装备制造、电子产品制造、环保产业全产业链条，促进产业集群化、规模化发展。</w:t>
      </w:r>
    </w:p>
    <w:p w:rsidR="00CA4156" w:rsidRDefault="00CA4156" w:rsidP="00CA4156">
      <w:pPr>
        <w:ind w:firstLineChars="200" w:firstLine="420"/>
      </w:pPr>
      <w:r>
        <w:rPr>
          <w:rFonts w:hint="eastAsia"/>
        </w:rPr>
        <w:t>筑牢发展优势，抓好传统产业升级。以鄂尔多斯集团为龙头，绒纺企业组团联合发展、组团智能化改造升级，累计投资</w:t>
      </w:r>
      <w:r>
        <w:t>35</w:t>
      </w:r>
      <w:r>
        <w:t>亿元，建成世界规模最大、装备技术一流的鄂尔多斯现代羊绒工业园，建成日交易量达</w:t>
      </w:r>
      <w:r>
        <w:t>10</w:t>
      </w:r>
      <w:r>
        <w:t>吨的内蒙古羊绒交易中心和集聚</w:t>
      </w:r>
      <w:r>
        <w:t>150</w:t>
      </w:r>
      <w:r>
        <w:t>余家中小绒纺企业的绒纺制品交易中心，羊绒制品产量突破</w:t>
      </w:r>
      <w:r>
        <w:t>500</w:t>
      </w:r>
      <w:r>
        <w:t>万件，年交易量</w:t>
      </w:r>
      <w:r>
        <w:t>3500</w:t>
      </w:r>
      <w:r>
        <w:t>吨，获评</w:t>
      </w:r>
      <w:r>
        <w:t>“</w:t>
      </w:r>
      <w:r>
        <w:t>中国羊绒产业名城</w:t>
      </w:r>
      <w:r>
        <w:t>”</w:t>
      </w:r>
      <w:r>
        <w:t>。启动鄂尔多斯羊绒集团</w:t>
      </w:r>
      <w:r>
        <w:t>4</w:t>
      </w:r>
      <w:r>
        <w:t>项智能化项目建设，推进由单纯绒纺加工向纺织工业转变，全年力争完成原绒收储</w:t>
      </w:r>
      <w:r>
        <w:t>4500</w:t>
      </w:r>
      <w:r>
        <w:t>吨，羊绒制品产量突破</w:t>
      </w:r>
      <w:r>
        <w:t>600</w:t>
      </w:r>
      <w:r>
        <w:t>万件；实施煤炭行业综合竞争力三年行动计划，推进煤</w:t>
      </w:r>
      <w:r>
        <w:rPr>
          <w:rFonts w:hint="eastAsia"/>
        </w:rPr>
        <w:t>炭分级分质利用，提升煤炭产业绿色化、清洁化、品牌化水平。目前，煤炭洗选能力达</w:t>
      </w:r>
      <w:r>
        <w:t>7110</w:t>
      </w:r>
      <w:r>
        <w:t>万吨</w:t>
      </w:r>
      <w:r>
        <w:t>/</w:t>
      </w:r>
      <w:r>
        <w:t>年，洗选率达</w:t>
      </w:r>
      <w:r>
        <w:t>95%</w:t>
      </w:r>
      <w:r>
        <w:t>，在建洗选能力</w:t>
      </w:r>
      <w:r>
        <w:t>300</w:t>
      </w:r>
      <w:r>
        <w:t>万吨</w:t>
      </w:r>
      <w:r>
        <w:t>/</w:t>
      </w:r>
      <w:r>
        <w:t>年，规划建设洗选能力</w:t>
      </w:r>
      <w:r>
        <w:t>400</w:t>
      </w:r>
      <w:r>
        <w:t>万吨</w:t>
      </w:r>
      <w:r>
        <w:t>/</w:t>
      </w:r>
      <w:r>
        <w:t>年，总计将达</w:t>
      </w:r>
      <w:r>
        <w:t>7810</w:t>
      </w:r>
      <w:r>
        <w:t>万吨</w:t>
      </w:r>
      <w:r>
        <w:t>/</w:t>
      </w:r>
      <w:r>
        <w:t>年，全部投入运行后，煤炭将全部实现洗选，煤炭品质将大为提升。全面激活煤炭电子交易平台，实现煤炭产品坑口和终端式电子交易，全市煤炭全部进入平台交易，今年</w:t>
      </w:r>
      <w:r>
        <w:t>1-10</w:t>
      </w:r>
      <w:r>
        <w:t>月，实现煤炭交易量</w:t>
      </w:r>
      <w:r>
        <w:t>10117.34</w:t>
      </w:r>
      <w:r>
        <w:t>万吨，同比增长</w:t>
      </w:r>
      <w:r>
        <w:t>30.4%</w:t>
      </w:r>
      <w:r>
        <w:t>；实现交易额</w:t>
      </w:r>
      <w:r>
        <w:t>243.82</w:t>
      </w:r>
      <w:r>
        <w:t>亿元，同比增长</w:t>
      </w:r>
      <w:r>
        <w:t>32.92%</w:t>
      </w:r>
      <w:r>
        <w:t>。成功举办两届全国煤炭交易大会，内蒙古煤炭交易中心跻身</w:t>
      </w:r>
      <w:r>
        <w:rPr>
          <w:rFonts w:hint="eastAsia"/>
        </w:rPr>
        <w:t>全国</w:t>
      </w:r>
      <w:r>
        <w:t>6</w:t>
      </w:r>
      <w:r>
        <w:t>大煤炭交易市场；推进沙棘产业持续发展。延伸产业精深加工链条，推进沙棘产业持续发展，打造国家级沙棘研发中心。成功举办</w:t>
      </w:r>
      <w:r>
        <w:t>2018</w:t>
      </w:r>
      <w:r>
        <w:t>年国际沙棘协会（中国）沙棘企业联合会年会，谋划沙棘产业发展。铜川镇沙棘工业园全面启动，园区占地</w:t>
      </w:r>
      <w:r>
        <w:t>2.5</w:t>
      </w:r>
      <w:r>
        <w:t>平方公里，总投资</w:t>
      </w:r>
      <w:r>
        <w:t>10</w:t>
      </w:r>
      <w:r>
        <w:t>亿元，基地年设计加工沙棘果</w:t>
      </w:r>
      <w:r>
        <w:t>5</w:t>
      </w:r>
      <w:r>
        <w:t>万吨，鲜叶</w:t>
      </w:r>
      <w:r>
        <w:t>6</w:t>
      </w:r>
      <w:r>
        <w:t>万吨，现已入驻企业有水利部沙棘开发管理中心沙棘综合项目高原圣果公司、王致和集团鄂尔多斯天骄食品公司，沙棘产品销往全国各地。园区年实现产值</w:t>
      </w:r>
      <w:r>
        <w:t>1.2</w:t>
      </w:r>
      <w:r>
        <w:t>亿元，创利税</w:t>
      </w:r>
      <w:r>
        <w:t>110</w:t>
      </w:r>
      <w:r>
        <w:t>万元。</w:t>
      </w:r>
    </w:p>
    <w:p w:rsidR="00CA4156" w:rsidRDefault="00CA4156" w:rsidP="00CA4156">
      <w:pPr>
        <w:ind w:firstLineChars="200" w:firstLine="420"/>
        <w:rPr>
          <w:rFonts w:hint="eastAsia"/>
        </w:rPr>
      </w:pPr>
      <w:r>
        <w:rPr>
          <w:rFonts w:hint="eastAsia"/>
        </w:rPr>
        <w:t>培育新兴产业，构筑产业体系新支柱。开复工山东临工机械制造、“巨无霸”动力电池、海明堡直升机、锂佳能源锂电池等</w:t>
      </w:r>
      <w:r>
        <w:t>13</w:t>
      </w:r>
      <w:r>
        <w:t>个项目；争取欧亚新能源汽车、节能环保科技园等项目落地开工；围绕碳纤维、石墨烯、高纯铝等新材料，积极引进产业中高端项目。力争装备制造基地全年生产整车突破</w:t>
      </w:r>
      <w:r>
        <w:t>10</w:t>
      </w:r>
      <w:r>
        <w:t>万辆，液晶玻璃基板</w:t>
      </w:r>
      <w:r>
        <w:t>34</w:t>
      </w:r>
      <w:r>
        <w:t>万张，实现产值</w:t>
      </w:r>
      <w:r>
        <w:t>160</w:t>
      </w:r>
      <w:r>
        <w:t>亿元，确保升级为自治区级工业园区；加强与呼包合作，在行业、园区、企业等多个层面推进资源循环式利用、产业循环式耦合，实现产业发展绿色化、低碳化。加快发展循环型产业链条，以电力热力、机械制造、电子信息、绒</w:t>
      </w:r>
      <w:r>
        <w:rPr>
          <w:rFonts w:hint="eastAsia"/>
        </w:rPr>
        <w:t>纺等行业为重点，形成多元化循环型产业链。围绕节能、节水、节地、废物减量与循环利用，开展循环型社区建设工作，在太阳能利用、雨水利用、中水利用、垃圾分类和回收等领域进行试点。推动工业经济循环发展，共同开展项目的节能监督、评估和审计。推进变频和锅炉节能技术改造，支持企业采用热电联产、余热、余压、新能源及资源综合利用发电等技术，大力推广应用节能新技术、新设备、新工艺，加快淘汰落后工艺设备，促进主要用能产业与产品单位能耗下降。促进循环型服务业发展，以现代商贸物流、生态旅游业、环境服务业等为重点，注重资源创造和资源整合相结合，大力发展低消耗、低污染、高附加值的现代服务业。</w:t>
      </w:r>
    </w:p>
    <w:p w:rsidR="00CA4156" w:rsidRDefault="00CA4156" w:rsidP="00CA4156">
      <w:pPr>
        <w:ind w:firstLineChars="200" w:firstLine="420"/>
        <w:rPr>
          <w:rFonts w:hint="eastAsia"/>
        </w:rPr>
      </w:pPr>
      <w:r w:rsidRPr="00674B59">
        <w:rPr>
          <w:rFonts w:hint="eastAsia"/>
        </w:rPr>
        <w:t>作者：</w:t>
      </w:r>
      <w:r w:rsidRPr="00674B59">
        <w:t xml:space="preserve"> </w:t>
      </w:r>
      <w:r w:rsidRPr="00674B59">
        <w:t>贾茹茹</w:t>
      </w:r>
    </w:p>
    <w:p w:rsidR="00CA4156" w:rsidRDefault="00CA4156" w:rsidP="00CA4156">
      <w:pPr>
        <w:ind w:firstLineChars="200" w:firstLine="420"/>
        <w:jc w:val="right"/>
        <w:rPr>
          <w:rFonts w:hint="eastAsia"/>
        </w:rPr>
      </w:pPr>
      <w:r w:rsidRPr="00674B59">
        <w:rPr>
          <w:rFonts w:hint="eastAsia"/>
        </w:rPr>
        <w:t>鄂尔多斯日报</w:t>
      </w:r>
      <w:r>
        <w:rPr>
          <w:rFonts w:hint="eastAsia"/>
        </w:rPr>
        <w:t>2018-12-12</w:t>
      </w:r>
    </w:p>
    <w:p w:rsidR="00CA4156" w:rsidRDefault="00CA4156" w:rsidP="00235DF0">
      <w:pPr>
        <w:sectPr w:rsidR="00CA4156" w:rsidSect="00235DF0">
          <w:type w:val="continuous"/>
          <w:pgSz w:w="11906" w:h="16838" w:code="9"/>
          <w:pgMar w:top="1644" w:right="1236" w:bottom="1418" w:left="1814" w:header="851" w:footer="907" w:gutter="0"/>
          <w:pgNumType w:start="1"/>
          <w:cols w:space="425"/>
          <w:docGrid w:type="lines" w:linePitch="341" w:charSpace="2373"/>
        </w:sectPr>
      </w:pPr>
    </w:p>
    <w:p w:rsidR="00F1081D" w:rsidRDefault="00F1081D"/>
    <w:sectPr w:rsidR="00F108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4156"/>
    <w:rsid w:val="00CA4156"/>
    <w:rsid w:val="00F108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A41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A4156"/>
    <w:rPr>
      <w:rFonts w:ascii="黑体" w:eastAsia="黑体" w:hAnsi="宋体" w:cs="Times New Roman"/>
      <w:b/>
      <w:kern w:val="36"/>
      <w:sz w:val="32"/>
      <w:szCs w:val="32"/>
    </w:rPr>
  </w:style>
  <w:style w:type="paragraph" w:customStyle="1" w:styleId="Char2CharCharChar">
    <w:name w:val="Char2 Char Char Char"/>
    <w:basedOn w:val="a"/>
    <w:autoRedefine/>
    <w:rsid w:val="00CA415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1481</Characters>
  <Application>Microsoft Office Word</Application>
  <DocSecurity>0</DocSecurity>
  <Lines>12</Lines>
  <Paragraphs>3</Paragraphs>
  <ScaleCrop>false</ScaleCrop>
  <Company/>
  <LinksUpToDate>false</LinksUpToDate>
  <CharactersWithSpaces>1737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