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075C" w:rsidRDefault="00BB075C" w:rsidP="00C00E37">
      <w:pPr>
        <w:pStyle w:val="1"/>
        <w:rPr>
          <w:rFonts w:hint="eastAsia"/>
        </w:rPr>
      </w:pPr>
      <w:r w:rsidRPr="00C00E37">
        <w:rPr>
          <w:rFonts w:hint="eastAsia"/>
        </w:rPr>
        <w:t>智慧城市群：京津冀协同发展新活力</w:t>
      </w:r>
    </w:p>
    <w:p w:rsidR="00BB075C" w:rsidRDefault="00BB075C" w:rsidP="00BB075C">
      <w:pPr>
        <w:ind w:firstLineChars="200" w:firstLine="420"/>
      </w:pPr>
      <w:r>
        <w:rPr>
          <w:rFonts w:hint="eastAsia"/>
        </w:rPr>
        <w:t>徐静</w:t>
      </w:r>
    </w:p>
    <w:p w:rsidR="00BB075C" w:rsidRDefault="00BB075C" w:rsidP="00BB075C">
      <w:pPr>
        <w:ind w:firstLineChars="200" w:firstLine="420"/>
      </w:pPr>
      <w:r>
        <w:rPr>
          <w:rFonts w:hint="eastAsia"/>
        </w:rPr>
        <w:t>京津冀协同发展确立了以首都为核心的世界级城市群区域格局，为环渤海及京津冀地区提供了协同发展之路。在国家战略引导下，京津冀三地通力协作，按照“功能互补、区域联动、轴向集聚、节点支撑”的布局思路，围绕“一核、双城、三轴、四区、多节点”的骨架，在非首都功能疏解、交通一体化发展、生态环境保护、产业升级转移等方面取得了显著进展：非首都功能疏解有序推进，“大城市病”有所缓解；交通一体化建设成效显著，“</w:t>
      </w:r>
      <w:r>
        <w:t>1</w:t>
      </w:r>
      <w:r>
        <w:t>小时交通圈</w:t>
      </w:r>
      <w:r>
        <w:t>”</w:t>
      </w:r>
      <w:r>
        <w:t>正在形成；生态环境保护力度加大，联防联控机制日益完善；产业转移对接步伐加快，产业空间布局得到优化；创新</w:t>
      </w:r>
      <w:r>
        <w:rPr>
          <w:rFonts w:hint="eastAsia"/>
        </w:rPr>
        <w:t>平台建设稳步推进，创新协同效果显著；公共服务一体化成效显现，地区间差距逐步缩小；市场一体化进程全面提速，要素流动日益频繁。与此同时，京津冀三地市场壁垒仍然存在，协同行动受政策性因素影响较大，协同绩效效果还有很大的提升空间。</w:t>
      </w:r>
    </w:p>
    <w:p w:rsidR="00BB075C" w:rsidRDefault="00BB075C" w:rsidP="00BB075C">
      <w:pPr>
        <w:ind w:firstLineChars="200" w:firstLine="420"/>
      </w:pPr>
      <w:r>
        <w:rPr>
          <w:rFonts w:hint="eastAsia"/>
        </w:rPr>
        <w:t>在“互联网</w:t>
      </w:r>
      <w:r>
        <w:t>+”</w:t>
      </w:r>
      <w:r>
        <w:t>的时代背景下，如何引领创新驱动发展的新常态，如何更有效地发挥京津冀协同效应，亟须新内涵、新思维和新智慧。</w:t>
      </w:r>
    </w:p>
    <w:p w:rsidR="00BB075C" w:rsidRDefault="00BB075C" w:rsidP="00BB075C">
      <w:pPr>
        <w:ind w:firstLineChars="200" w:firstLine="420"/>
      </w:pPr>
      <w:r>
        <w:rPr>
          <w:rFonts w:hint="eastAsia"/>
        </w:rPr>
        <w:t>根据协同理论的思想，京津冀城市群可以看作是一个开放的复杂系统，尽管京津冀三省市的功能定位不同，但在整个区域经济布局中，各城市间存在着相互影响而又相互合作的关系。因而，京津冀协同发展的关键在于形成时间、空间和功能上的有序结构，即：从主体角度协调中心城市、核心城市与所在区域的共生互动关系，打造协同创新共同体；从要素角度重点发展交通一体化、生态环境保护、产业升级转移等领域，并逐步拓展到教育、医疗卫生、养老、旅游等社会事业领域；从机制角度推进全面创新改革，促进京津冀三地创新链、产业链、资金链、政策链的深度融合；从技术角度构建京津冀多元主体协同的网络信息生态链，为区域集群式服务协同提供支撑。</w:t>
      </w:r>
    </w:p>
    <w:p w:rsidR="00BB075C" w:rsidRDefault="00BB075C" w:rsidP="00BB075C">
      <w:pPr>
        <w:ind w:firstLineChars="200" w:firstLine="420"/>
      </w:pPr>
      <w:r>
        <w:rPr>
          <w:rFonts w:hint="eastAsia"/>
        </w:rPr>
        <w:t>当前，京津冀协同发展以促进创新资源合理配置、开放共享、高效利用为主线，科技体制改革成为引领协同发展的第一动力。因而，围绕以首都为核心的世界级城市群，基于“云、大、物、移、智”等新一代信息技术建设智慧城市群，进而建设智慧区域，无疑将成为京津冀协同发展的重要支点。这不仅有利于发挥智慧北京的辐射带动作用，也可以实现北京与天津以及河北省保定、唐山、廊坊、沧州、秦皇岛、石家庄、张家口、承德、邯郸、邢台、衡水等城市间的资源整合、信息共享、互联互通和业务协同。</w:t>
      </w:r>
    </w:p>
    <w:p w:rsidR="00BB075C" w:rsidRDefault="00BB075C" w:rsidP="00BB075C">
      <w:pPr>
        <w:ind w:firstLineChars="200" w:firstLine="420"/>
      </w:pPr>
      <w:r>
        <w:rPr>
          <w:rFonts w:hint="eastAsia"/>
        </w:rPr>
        <w:t>随着京津冀协同发展进程的加快，智慧城市群建设将发挥重要的协同效应。智慧城市以透彻感知、深度互联和智能应用为基本特征，是一个复杂的自感知、自调节系统，包含感知、传输与互联、智慧处理与反馈以及信息流、控制流、知识流、价值流的协同优化。透彻感知好比人体的皮肤和五官，基于传感器系统，将可见性扩展到城市或区域各个角落，采集获取以前无法利用或收集成本过高的实时数据源，包括水、空气、电、气、道路、桥梁、房屋、排污口、停车场、车辆、人体、工厂、医院、物流、产品、商品、视频、卫星和飞机等信息。深度互联好比人体的神经中枢，是大脑信息传递和处理部门，通过各种形式的高速高带宽通信网络，将个人电子设备、组织和政府信息系统中收集和储存的分散信息连接起来，进行跨领域、跨部门、跨时空的交互共享。智能应用好比人体的肢体，相当于人的社会分工，通过运用数据挖掘工具、科学模型和功能强大的运算系统来处理复杂的数据以整合海量信息，并将特定的知识应用到特定行业、场景和解决方案中，如智慧的交通、通讯、水和能源、生态环保、商业、政务、教育、医疗卫生、养老、旅游等。</w:t>
      </w:r>
    </w:p>
    <w:p w:rsidR="00BB075C" w:rsidRDefault="00BB075C" w:rsidP="00BB075C">
      <w:pPr>
        <w:ind w:firstLineChars="200" w:firstLine="420"/>
        <w:rPr>
          <w:rFonts w:hint="eastAsia"/>
        </w:rPr>
      </w:pPr>
      <w:r>
        <w:rPr>
          <w:rFonts w:hint="eastAsia"/>
        </w:rPr>
        <w:t>展望京津冀协同发展规划的</w:t>
      </w:r>
      <w:r>
        <w:t>2020</w:t>
      </w:r>
      <w:r>
        <w:t>年中期目标，要实现北京市常住人口控制在</w:t>
      </w:r>
      <w:r>
        <w:t>2300</w:t>
      </w:r>
      <w:r>
        <w:t>万人以内，北京</w:t>
      </w:r>
      <w:r>
        <w:t>“</w:t>
      </w:r>
      <w:r>
        <w:t>大城市病</w:t>
      </w:r>
      <w:r>
        <w:t>”</w:t>
      </w:r>
      <w:r>
        <w:t>等突出问题得到缓解，区域一体化交通网络基本形成，生态环境质量得到有效改善，产业联动发展取得重大进展，公共服务共建共享取得积极成效，协同发展机制有效运转，区域内发展差距趋于缩小，初步形成京津冀协同发展、互利共赢新局面，创新改革势在必行。京津冀智慧城市群建设，能够凸显集群联合、泛在协同、共享增值的优势，必将为京津冀一体化注入新活力，有效助力京津冀协同发展目标的实现。</w:t>
      </w:r>
    </w:p>
    <w:p w:rsidR="00BB075C" w:rsidRDefault="00BB075C" w:rsidP="00BB075C">
      <w:pPr>
        <w:ind w:firstLineChars="200" w:firstLine="420"/>
        <w:jc w:val="right"/>
        <w:rPr>
          <w:rFonts w:hint="eastAsia"/>
        </w:rPr>
      </w:pPr>
      <w:r w:rsidRPr="00800679">
        <w:rPr>
          <w:rFonts w:hint="eastAsia"/>
        </w:rPr>
        <w:t>北京日报</w:t>
      </w:r>
      <w:r>
        <w:rPr>
          <w:rFonts w:hint="eastAsia"/>
        </w:rPr>
        <w:t>2018-11-26</w:t>
      </w:r>
    </w:p>
    <w:p w:rsidR="00BB075C" w:rsidRDefault="00BB075C" w:rsidP="0064317F">
      <w:pPr>
        <w:sectPr w:rsidR="00BB075C" w:rsidSect="0064317F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815324" w:rsidRDefault="00815324"/>
    <w:sectPr w:rsidR="0081532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B075C"/>
    <w:rsid w:val="00815324"/>
    <w:rsid w:val="00BB07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BB075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BB075C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BB075C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251</Words>
  <Characters>1433</Characters>
  <Application>Microsoft Office Word</Application>
  <DocSecurity>0</DocSecurity>
  <Lines>11</Lines>
  <Paragraphs>3</Paragraphs>
  <ScaleCrop>false</ScaleCrop>
  <Company/>
  <LinksUpToDate>false</LinksUpToDate>
  <CharactersWithSpaces>1681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2022-06-09T02:52:00Z</dcterms:created>
</cp:coreProperties>
</file>